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529B" w:rsidRDefault="00AD529B" w:rsidP="00AD529B">
      <w:pPr>
        <w:pStyle w:val="a3"/>
        <w:jc w:val="center"/>
        <w:rPr>
          <w:rFonts w:cs="FrankRuehl"/>
          <w:noProof w:val="0"/>
          <w:sz w:val="28"/>
          <w:szCs w:val="28"/>
          <w:rtl/>
        </w:rPr>
      </w:pPr>
      <w:r>
        <w:rPr>
          <w:rFonts w:cs="FrankRuehl"/>
          <w:sz w:val="28"/>
          <w:szCs w:val="28"/>
        </w:rPr>
        <w:drawing>
          <wp:inline distT="0" distB="0" distL="0" distR="0" wp14:anchorId="54CAF040" wp14:editId="086FBC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09"/>
        <w:gridCol w:w="3497"/>
      </w:tblGrid>
      <w:tr w:rsidR="00AD529B" w:rsidTr="00E61621">
        <w:trPr>
          <w:trHeight w:hRule="exact" w:val="704"/>
          <w:jc w:val="center"/>
        </w:trPr>
        <w:sdt>
          <w:sdtPr>
            <w:rPr>
              <w:rFonts w:ascii="Tahoma" w:hAnsi="Tahoma"/>
              <w:color w:val="000080"/>
              <w:sz w:val="32"/>
              <w:szCs w:val="32"/>
              <w:rtl/>
            </w:rPr>
            <w:alias w:val="1174"/>
            <w:tag w:val="1174"/>
            <w:id w:val="-1585920285"/>
            <w:text w:multiLine="1"/>
          </w:sdtPr>
          <w:sdtEndPr/>
          <w:sdtContent>
            <w:tc>
              <w:tcPr>
                <w:tcW w:w="8306" w:type="dxa"/>
                <w:gridSpan w:val="2"/>
              </w:tcPr>
              <w:p w:rsidR="00AD529B" w:rsidRPr="00F038D8" w:rsidRDefault="00AD529B" w:rsidP="007C3F06">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באילת</w:t>
                </w:r>
              </w:p>
            </w:tc>
          </w:sdtContent>
        </w:sdt>
      </w:tr>
      <w:tr w:rsidR="00AD529B" w:rsidTr="00E61621">
        <w:trPr>
          <w:trHeight w:val="337"/>
          <w:jc w:val="center"/>
        </w:trPr>
        <w:tc>
          <w:tcPr>
            <w:tcW w:w="4809" w:type="dxa"/>
          </w:tcPr>
          <w:p w:rsidR="00AD529B" w:rsidRDefault="00AD529B" w:rsidP="007C3F06">
            <w:pPr>
              <w:rPr>
                <w:b/>
                <w:bCs/>
                <w:noProof w:val="0"/>
                <w:sz w:val="26"/>
                <w:szCs w:val="26"/>
                <w:rtl/>
              </w:rPr>
            </w:pPr>
          </w:p>
        </w:tc>
        <w:tc>
          <w:tcPr>
            <w:tcW w:w="3497" w:type="dxa"/>
          </w:tcPr>
          <w:p w:rsidR="00AD529B" w:rsidRDefault="00AD529B" w:rsidP="007C3F06">
            <w:pPr>
              <w:pStyle w:val="a3"/>
              <w:jc w:val="right"/>
              <w:rPr>
                <w:b/>
                <w:bCs/>
                <w:noProof w:val="0"/>
                <w:sz w:val="26"/>
                <w:szCs w:val="26"/>
                <w:rtl/>
              </w:rPr>
            </w:pPr>
          </w:p>
        </w:tc>
      </w:tr>
      <w:tr w:rsidR="00AD529B" w:rsidTr="00E61621">
        <w:trPr>
          <w:trHeight w:val="337"/>
          <w:jc w:val="center"/>
        </w:trPr>
        <w:tc>
          <w:tcPr>
            <w:tcW w:w="8306" w:type="dxa"/>
            <w:gridSpan w:val="2"/>
          </w:tcPr>
          <w:p w:rsidR="00AD529B" w:rsidRDefault="00AD529B" w:rsidP="006C5947">
            <w:pPr>
              <w:rPr>
                <w:b/>
                <w:bCs/>
                <w:noProof w:val="0"/>
                <w:sz w:val="26"/>
                <w:szCs w:val="26"/>
                <w:rtl/>
              </w:rPr>
            </w:pPr>
            <w:proofErr w:type="spellStart"/>
            <w:r>
              <w:rPr>
                <w:b/>
                <w:bCs/>
                <w:noProof w:val="0"/>
                <w:sz w:val="26"/>
                <w:szCs w:val="26"/>
                <w:rtl/>
              </w:rPr>
              <w:t>תמ"ש</w:t>
            </w:r>
            <w:proofErr w:type="spellEnd"/>
            <w:r>
              <w:rPr>
                <w:b/>
                <w:bCs/>
                <w:noProof w:val="0"/>
                <w:sz w:val="26"/>
                <w:szCs w:val="26"/>
                <w:rtl/>
              </w:rPr>
              <w:t xml:space="preserve"> </w:t>
            </w:r>
            <w:bookmarkStart w:id="0" w:name="_GoBack"/>
            <w:r>
              <w:rPr>
                <w:b/>
                <w:bCs/>
                <w:noProof w:val="0"/>
                <w:sz w:val="26"/>
                <w:szCs w:val="26"/>
                <w:rtl/>
              </w:rPr>
              <w:t xml:space="preserve">23553-10-22 </w:t>
            </w:r>
            <w:bookmarkEnd w:id="0"/>
            <w:r>
              <w:rPr>
                <w:b/>
                <w:bCs/>
                <w:noProof w:val="0"/>
                <w:sz w:val="26"/>
                <w:szCs w:val="26"/>
                <w:rtl/>
              </w:rPr>
              <w:t>ש</w:t>
            </w:r>
            <w:r w:rsidR="006C5947">
              <w:rPr>
                <w:rFonts w:hint="cs"/>
                <w:b/>
                <w:bCs/>
                <w:noProof w:val="0"/>
                <w:sz w:val="26"/>
                <w:szCs w:val="26"/>
                <w:rtl/>
              </w:rPr>
              <w:t>.</w:t>
            </w:r>
            <w:r>
              <w:rPr>
                <w:b/>
                <w:bCs/>
                <w:noProof w:val="0"/>
                <w:sz w:val="26"/>
                <w:szCs w:val="26"/>
                <w:rtl/>
              </w:rPr>
              <w:t xml:space="preserve"> ש</w:t>
            </w:r>
            <w:r w:rsidR="006C5947">
              <w:rPr>
                <w:rFonts w:hint="cs"/>
                <w:b/>
                <w:bCs/>
                <w:noProof w:val="0"/>
                <w:sz w:val="26"/>
                <w:szCs w:val="26"/>
                <w:rtl/>
              </w:rPr>
              <w:t>.</w:t>
            </w:r>
            <w:r>
              <w:rPr>
                <w:b/>
                <w:bCs/>
                <w:noProof w:val="0"/>
                <w:sz w:val="26"/>
                <w:szCs w:val="26"/>
                <w:rtl/>
              </w:rPr>
              <w:t xml:space="preserve"> נ' ש</w:t>
            </w:r>
            <w:r w:rsidR="006C5947">
              <w:rPr>
                <w:rFonts w:hint="cs"/>
                <w:b/>
                <w:bCs/>
                <w:noProof w:val="0"/>
                <w:sz w:val="26"/>
                <w:szCs w:val="26"/>
                <w:rtl/>
              </w:rPr>
              <w:t>.</w:t>
            </w:r>
          </w:p>
          <w:p w:rsidR="00AD529B" w:rsidRPr="007B7765" w:rsidRDefault="00AD529B" w:rsidP="007C3F06">
            <w:pPr>
              <w:rPr>
                <w:b/>
                <w:bCs/>
                <w:noProof w:val="0"/>
                <w:sz w:val="2"/>
                <w:szCs w:val="2"/>
                <w:rtl/>
              </w:rPr>
            </w:pPr>
          </w:p>
          <w:p w:rsidR="00AD529B" w:rsidRDefault="00AD529B" w:rsidP="007C3F06">
            <w:pPr>
              <w:rPr>
                <w:sz w:val="20"/>
                <w:szCs w:val="20"/>
                <w:rtl/>
              </w:rPr>
            </w:pPr>
            <w:r>
              <w:rPr>
                <w:rFonts w:hint="cs"/>
                <w:rtl/>
              </w:rPr>
              <w:t xml:space="preserve">                           </w:t>
            </w:r>
            <w:r>
              <w:rPr>
                <w:rFonts w:hint="cs"/>
                <w:sz w:val="20"/>
                <w:szCs w:val="20"/>
                <w:rtl/>
              </w:rPr>
              <w:t xml:space="preserve">                                       </w:t>
            </w:r>
          </w:p>
          <w:p w:rsidR="00AD529B" w:rsidRPr="00E1068A" w:rsidRDefault="00AD529B" w:rsidP="007C3F06">
            <w:pPr>
              <w:rPr>
                <w:sz w:val="20"/>
                <w:szCs w:val="20"/>
                <w:rtl/>
              </w:rPr>
            </w:pPr>
          </w:p>
        </w:tc>
      </w:tr>
    </w:tbl>
    <w:p w:rsidR="00E61621" w:rsidRDefault="00E61621" w:rsidP="00E61621">
      <w:pPr>
        <w:suppressLineNumbers/>
        <w:rPr>
          <w:rtl/>
        </w:rPr>
      </w:pPr>
    </w:p>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E61621" w:rsidTr="007C3F06">
        <w:trPr>
          <w:trHeight w:val="295"/>
          <w:jc w:val="center"/>
        </w:trPr>
        <w:tc>
          <w:tcPr>
            <w:tcW w:w="5049" w:type="dxa"/>
            <w:gridSpan w:val="3"/>
          </w:tcPr>
          <w:p w:rsidR="00E61621" w:rsidRDefault="00E61621" w:rsidP="007C3F06">
            <w:pPr>
              <w:suppressLineNumbers/>
              <w:rPr>
                <w:rFonts w:ascii="Arial" w:hAnsi="Arial"/>
                <w:b/>
                <w:bCs/>
                <w:noProof w:val="0"/>
                <w:sz w:val="26"/>
                <w:szCs w:val="26"/>
                <w:rtl/>
              </w:rPr>
            </w:pPr>
          </w:p>
        </w:tc>
        <w:tc>
          <w:tcPr>
            <w:tcW w:w="3771" w:type="dxa"/>
          </w:tcPr>
          <w:p w:rsidR="00E61621" w:rsidRDefault="00E61621" w:rsidP="007C3F06">
            <w:pPr>
              <w:suppressLineNumbers/>
              <w:rPr>
                <w:rFonts w:ascii="Arial" w:hAnsi="Arial"/>
                <w:b/>
                <w:bCs/>
                <w:noProof w:val="0"/>
                <w:sz w:val="26"/>
                <w:szCs w:val="26"/>
                <w:rtl/>
              </w:rPr>
            </w:pPr>
            <w:r>
              <w:rPr>
                <w:rFonts w:ascii="Arial" w:hAnsi="Arial"/>
                <w:b/>
                <w:bCs/>
                <w:noProof w:val="0"/>
                <w:sz w:val="26"/>
                <w:szCs w:val="26"/>
                <w:rtl/>
              </w:rPr>
              <w:t>מספר בקשה:</w:t>
            </w:r>
            <w:r>
              <w:rPr>
                <w:rFonts w:ascii="Arial" w:hAnsi="Arial"/>
                <w:b/>
                <w:bCs/>
                <w:noProof w:val="0"/>
                <w:sz w:val="32"/>
                <w:szCs w:val="32"/>
                <w:rtl/>
              </w:rPr>
              <w:t>13</w:t>
            </w:r>
          </w:p>
        </w:tc>
      </w:tr>
      <w:tr w:rsidR="00E61621" w:rsidTr="007C3F06">
        <w:trPr>
          <w:jc w:val="center"/>
        </w:trPr>
        <w:tc>
          <w:tcPr>
            <w:tcW w:w="743" w:type="dxa"/>
          </w:tcPr>
          <w:p w:rsidR="00E61621" w:rsidRPr="0001039D" w:rsidRDefault="00E61621" w:rsidP="007C3F06">
            <w:pPr>
              <w:suppressLineNumbers/>
              <w:jc w:val="both"/>
              <w:rPr>
                <w:rFonts w:ascii="Arial" w:hAnsi="Arial"/>
                <w:b/>
                <w:bCs/>
                <w:sz w:val="26"/>
                <w:szCs w:val="26"/>
                <w:rtl/>
              </w:rPr>
            </w:pPr>
            <w:r w:rsidRPr="0001039D">
              <w:rPr>
                <w:rFonts w:ascii="Arial" w:hAnsi="Arial" w:hint="cs"/>
                <w:b/>
                <w:bCs/>
                <w:sz w:val="26"/>
                <w:szCs w:val="26"/>
                <w:rtl/>
              </w:rPr>
              <w:t>ב</w:t>
            </w:r>
            <w:r w:rsidRPr="0001039D">
              <w:rPr>
                <w:rFonts w:ascii="Arial" w:hAnsi="Arial"/>
                <w:b/>
                <w:bCs/>
                <w:sz w:val="26"/>
                <w:szCs w:val="26"/>
                <w:rtl/>
              </w:rPr>
              <w:t xml:space="preserve">פני </w:t>
            </w:r>
          </w:p>
        </w:tc>
        <w:tc>
          <w:tcPr>
            <w:tcW w:w="8077" w:type="dxa"/>
            <w:gridSpan w:val="3"/>
          </w:tcPr>
          <w:p w:rsidR="00E61621" w:rsidRPr="00E92A5A" w:rsidRDefault="00E61621" w:rsidP="007C3F06">
            <w:pPr>
              <w:suppressLineNumbers/>
              <w:rPr>
                <w:rFonts w:ascii="Arial" w:hAnsi="Arial" w:cs="FrankRuehl"/>
                <w:sz w:val="26"/>
                <w:szCs w:val="26"/>
                <w:highlight w:val="yellow"/>
              </w:rPr>
            </w:pPr>
            <w:r w:rsidRPr="00E92A5A">
              <w:rPr>
                <w:rFonts w:ascii="Arial" w:hAnsi="Arial" w:hint="cs"/>
                <w:b/>
                <w:bCs/>
                <w:sz w:val="26"/>
                <w:szCs w:val="26"/>
                <w:rtl/>
              </w:rPr>
              <w:t>כב' השופט הבכיר, מרדכי (מוטי) לוי</w:t>
            </w:r>
          </w:p>
        </w:tc>
      </w:tr>
      <w:tr w:rsidR="00E61621" w:rsidTr="007C3F06">
        <w:trPr>
          <w:jc w:val="center"/>
        </w:trPr>
        <w:tc>
          <w:tcPr>
            <w:tcW w:w="3249" w:type="dxa"/>
            <w:gridSpan w:val="2"/>
          </w:tcPr>
          <w:p w:rsidR="00E61621" w:rsidRDefault="00E61621" w:rsidP="007C3F06">
            <w:pPr>
              <w:suppressLineNumbers/>
              <w:rPr>
                <w:rFonts w:ascii="Arial" w:hAnsi="Arial"/>
                <w:b/>
                <w:bCs/>
                <w:noProof w:val="0"/>
                <w:sz w:val="26"/>
                <w:szCs w:val="26"/>
              </w:rPr>
            </w:pPr>
          </w:p>
          <w:p w:rsidR="00E61621" w:rsidRDefault="00E61621" w:rsidP="007C3F06">
            <w:pPr>
              <w:suppressLineNumbers/>
              <w:rPr>
                <w:rFonts w:ascii="Arial" w:hAnsi="Arial"/>
                <w:b/>
                <w:bCs/>
                <w:noProof w:val="0"/>
                <w:sz w:val="26"/>
                <w:szCs w:val="26"/>
                <w:rtl/>
              </w:rPr>
            </w:pPr>
            <w:r>
              <w:rPr>
                <w:rFonts w:ascii="Arial" w:hAnsi="Arial" w:hint="cs"/>
                <w:b/>
                <w:bCs/>
                <w:noProof w:val="0"/>
                <w:sz w:val="26"/>
                <w:szCs w:val="26"/>
                <w:rtl/>
              </w:rPr>
              <w:t>תובע</w:t>
            </w:r>
          </w:p>
        </w:tc>
        <w:tc>
          <w:tcPr>
            <w:tcW w:w="5571" w:type="dxa"/>
            <w:gridSpan w:val="2"/>
          </w:tcPr>
          <w:p w:rsidR="00E61621" w:rsidRDefault="00E61621" w:rsidP="007C3F06">
            <w:pPr>
              <w:suppressLineNumbers/>
              <w:rPr>
                <w:rFonts w:ascii="Arial" w:hAnsi="Arial"/>
                <w:b/>
                <w:bCs/>
                <w:noProof w:val="0"/>
                <w:sz w:val="26"/>
                <w:szCs w:val="26"/>
                <w:rtl/>
              </w:rPr>
            </w:pPr>
          </w:p>
          <w:p w:rsidR="00E61621" w:rsidRDefault="00E61621" w:rsidP="006C5947">
            <w:pPr>
              <w:suppressLineNumbers/>
              <w:rPr>
                <w:b/>
                <w:bCs/>
                <w:noProof w:val="0"/>
                <w:sz w:val="26"/>
                <w:szCs w:val="26"/>
                <w:rtl/>
              </w:rPr>
            </w:pPr>
            <w:r>
              <w:rPr>
                <w:rFonts w:ascii="Arial" w:hAnsi="Arial" w:hint="cs"/>
                <w:b/>
                <w:bCs/>
                <w:noProof w:val="0"/>
                <w:sz w:val="26"/>
                <w:szCs w:val="26"/>
                <w:rtl/>
              </w:rPr>
              <w:t>א</w:t>
            </w:r>
            <w:r w:rsidR="006C5947">
              <w:rPr>
                <w:rFonts w:ascii="Arial" w:hAnsi="Arial" w:hint="cs"/>
                <w:b/>
                <w:bCs/>
                <w:noProof w:val="0"/>
                <w:sz w:val="26"/>
                <w:szCs w:val="26"/>
                <w:rtl/>
              </w:rPr>
              <w:t>.</w:t>
            </w:r>
            <w:r>
              <w:rPr>
                <w:rFonts w:ascii="Arial" w:hAnsi="Arial" w:hint="cs"/>
                <w:b/>
                <w:bCs/>
                <w:noProof w:val="0"/>
                <w:sz w:val="26"/>
                <w:szCs w:val="26"/>
                <w:rtl/>
              </w:rPr>
              <w:t>ש</w:t>
            </w:r>
            <w:r w:rsidR="006C5947">
              <w:rPr>
                <w:rFonts w:ascii="Arial" w:hAnsi="Arial" w:hint="cs"/>
                <w:b/>
                <w:bCs/>
                <w:noProof w:val="0"/>
                <w:sz w:val="26"/>
                <w:szCs w:val="26"/>
                <w:rtl/>
              </w:rPr>
              <w:t>.</w:t>
            </w:r>
          </w:p>
          <w:p w:rsidR="00E61621" w:rsidRPr="001342A8" w:rsidRDefault="00E61621" w:rsidP="007C3F06">
            <w:pPr>
              <w:suppressLineNumbers/>
              <w:rPr>
                <w:noProof w:val="0"/>
              </w:rPr>
            </w:pPr>
            <w:r>
              <w:rPr>
                <w:rFonts w:hint="cs"/>
                <w:noProof w:val="0"/>
                <w:rtl/>
              </w:rPr>
              <w:t>מיוצג ע"י עו"ד נועה כהנא</w:t>
            </w:r>
          </w:p>
        </w:tc>
      </w:tr>
      <w:tr w:rsidR="00E61621" w:rsidTr="007C3F06">
        <w:trPr>
          <w:jc w:val="center"/>
        </w:trPr>
        <w:tc>
          <w:tcPr>
            <w:tcW w:w="8820" w:type="dxa"/>
            <w:gridSpan w:val="4"/>
          </w:tcPr>
          <w:p w:rsidR="00E61621" w:rsidRDefault="00E61621" w:rsidP="007C3F06">
            <w:pPr>
              <w:suppressLineNumbers/>
              <w:rPr>
                <w:rFonts w:ascii="Arial" w:hAnsi="Arial"/>
                <w:b/>
                <w:bCs/>
                <w:noProof w:val="0"/>
                <w:sz w:val="26"/>
                <w:szCs w:val="26"/>
                <w:rtl/>
              </w:rPr>
            </w:pPr>
          </w:p>
          <w:p w:rsidR="00E61621" w:rsidRDefault="00E61621" w:rsidP="007C3F06">
            <w:pPr>
              <w:suppressLineNumbers/>
              <w:jc w:val="center"/>
              <w:rPr>
                <w:rFonts w:ascii="Arial" w:hAnsi="Arial"/>
                <w:b/>
                <w:bCs/>
                <w:noProof w:val="0"/>
                <w:sz w:val="26"/>
                <w:szCs w:val="26"/>
              </w:rPr>
            </w:pPr>
            <w:r>
              <w:rPr>
                <w:rFonts w:ascii="Arial" w:hAnsi="Arial"/>
                <w:b/>
                <w:bCs/>
                <w:noProof w:val="0"/>
                <w:sz w:val="26"/>
                <w:szCs w:val="26"/>
                <w:rtl/>
              </w:rPr>
              <w:t>נגד</w:t>
            </w:r>
          </w:p>
        </w:tc>
      </w:tr>
      <w:tr w:rsidR="00E61621" w:rsidTr="007C3F06">
        <w:trPr>
          <w:jc w:val="center"/>
        </w:trPr>
        <w:tc>
          <w:tcPr>
            <w:tcW w:w="3249" w:type="dxa"/>
            <w:gridSpan w:val="2"/>
          </w:tcPr>
          <w:p w:rsidR="00E61621" w:rsidRDefault="00E61621" w:rsidP="007C3F06">
            <w:pPr>
              <w:suppressLineNumbers/>
              <w:rPr>
                <w:rFonts w:ascii="Arial" w:hAnsi="Arial"/>
                <w:b/>
                <w:bCs/>
                <w:noProof w:val="0"/>
                <w:sz w:val="26"/>
                <w:szCs w:val="26"/>
                <w:rtl/>
              </w:rPr>
            </w:pPr>
          </w:p>
          <w:p w:rsidR="00E61621" w:rsidRDefault="00E61621" w:rsidP="006C5947">
            <w:pPr>
              <w:suppressLineNumbers/>
              <w:tabs>
                <w:tab w:val="right" w:pos="3033"/>
              </w:tabs>
              <w:rPr>
                <w:rFonts w:ascii="Arial" w:hAnsi="Arial"/>
                <w:b/>
                <w:bCs/>
                <w:noProof w:val="0"/>
                <w:sz w:val="26"/>
                <w:szCs w:val="26"/>
              </w:rPr>
            </w:pPr>
            <w:r>
              <w:rPr>
                <w:rFonts w:ascii="Arial" w:hAnsi="Arial" w:hint="cs"/>
                <w:b/>
                <w:bCs/>
                <w:noProof w:val="0"/>
                <w:sz w:val="26"/>
                <w:szCs w:val="26"/>
                <w:rtl/>
              </w:rPr>
              <w:t>נתבעת</w:t>
            </w:r>
            <w:r w:rsidR="006C5947">
              <w:rPr>
                <w:rFonts w:ascii="Arial" w:hAnsi="Arial"/>
                <w:b/>
                <w:bCs/>
                <w:noProof w:val="0"/>
                <w:sz w:val="26"/>
                <w:szCs w:val="26"/>
              </w:rPr>
              <w:tab/>
            </w:r>
          </w:p>
        </w:tc>
        <w:tc>
          <w:tcPr>
            <w:tcW w:w="5571" w:type="dxa"/>
            <w:gridSpan w:val="2"/>
          </w:tcPr>
          <w:p w:rsidR="00E61621" w:rsidRDefault="00E61621" w:rsidP="007C3F06">
            <w:pPr>
              <w:suppressLineNumbers/>
              <w:rPr>
                <w:rFonts w:ascii="Arial" w:hAnsi="Arial"/>
                <w:b/>
                <w:bCs/>
                <w:noProof w:val="0"/>
                <w:sz w:val="26"/>
                <w:szCs w:val="26"/>
                <w:rtl/>
              </w:rPr>
            </w:pPr>
          </w:p>
          <w:p w:rsidR="00E61621" w:rsidRDefault="00E61621" w:rsidP="006C5947">
            <w:pPr>
              <w:suppressLineNumbers/>
              <w:rPr>
                <w:b/>
                <w:bCs/>
                <w:noProof w:val="0"/>
                <w:sz w:val="26"/>
                <w:szCs w:val="26"/>
                <w:rtl/>
              </w:rPr>
            </w:pPr>
            <w:proofErr w:type="spellStart"/>
            <w:r>
              <w:rPr>
                <w:rFonts w:ascii="Arial" w:hAnsi="Arial"/>
                <w:b/>
                <w:bCs/>
                <w:noProof w:val="0"/>
                <w:sz w:val="26"/>
                <w:szCs w:val="26"/>
                <w:rtl/>
              </w:rPr>
              <w:t>ר</w:t>
            </w:r>
            <w:r w:rsidR="006C5947">
              <w:rPr>
                <w:rFonts w:ascii="Arial" w:hAnsi="Arial" w:hint="cs"/>
                <w:b/>
                <w:bCs/>
                <w:noProof w:val="0"/>
                <w:sz w:val="26"/>
                <w:szCs w:val="26"/>
                <w:rtl/>
              </w:rPr>
              <w:t>.</w:t>
            </w:r>
            <w:r>
              <w:rPr>
                <w:rFonts w:ascii="Arial" w:hAnsi="Arial"/>
                <w:b/>
                <w:bCs/>
                <w:noProof w:val="0"/>
                <w:sz w:val="26"/>
                <w:szCs w:val="26"/>
                <w:rtl/>
              </w:rPr>
              <w:t>ש</w:t>
            </w:r>
            <w:proofErr w:type="spellEnd"/>
            <w:r w:rsidR="006C5947">
              <w:rPr>
                <w:rFonts w:ascii="Arial" w:hAnsi="Arial" w:hint="cs"/>
                <w:b/>
                <w:bCs/>
                <w:noProof w:val="0"/>
                <w:sz w:val="26"/>
                <w:szCs w:val="26"/>
                <w:rtl/>
              </w:rPr>
              <w:t>.</w:t>
            </w:r>
          </w:p>
          <w:p w:rsidR="00E61621" w:rsidRPr="001342A8" w:rsidRDefault="00E61621" w:rsidP="007C3F06">
            <w:pPr>
              <w:suppressLineNumbers/>
              <w:rPr>
                <w:noProof w:val="0"/>
                <w:rtl/>
              </w:rPr>
            </w:pPr>
            <w:r>
              <w:rPr>
                <w:rFonts w:hint="cs"/>
                <w:noProof w:val="0"/>
                <w:rtl/>
              </w:rPr>
              <w:t>מיוצגת ע"י עוה"ד ד"ר יאיר שיבר ודורון שיבר</w:t>
            </w:r>
          </w:p>
        </w:tc>
      </w:tr>
      <w:tr w:rsidR="00E61621" w:rsidTr="007C3F06">
        <w:trPr>
          <w:jc w:val="center"/>
        </w:trPr>
        <w:tc>
          <w:tcPr>
            <w:tcW w:w="8820" w:type="dxa"/>
            <w:gridSpan w:val="4"/>
          </w:tcPr>
          <w:p w:rsidR="00E61621" w:rsidRDefault="00E61621" w:rsidP="007C3F06">
            <w:pPr>
              <w:suppressLineNumbers/>
              <w:rPr>
                <w:rFonts w:ascii="Arial" w:hAnsi="Arial"/>
                <w:b/>
                <w:bCs/>
                <w:noProof w:val="0"/>
                <w:sz w:val="26"/>
                <w:szCs w:val="26"/>
                <w:rtl/>
              </w:rPr>
            </w:pPr>
          </w:p>
        </w:tc>
      </w:tr>
    </w:tbl>
    <w:p w:rsidR="00E61621" w:rsidRDefault="00E61621" w:rsidP="00E61621">
      <w:pPr>
        <w:suppressLineNumbers/>
        <w:rPr>
          <w:rtl/>
        </w:rPr>
      </w:pPr>
    </w:p>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E61621" w:rsidRPr="00DE1E7D" w:rsidTr="007C3F06">
        <w:trPr>
          <w:jc w:val="center"/>
        </w:trPr>
        <w:tc>
          <w:tcPr>
            <w:tcW w:w="8820" w:type="dxa"/>
          </w:tcPr>
          <w:p w:rsidR="00E61621" w:rsidRDefault="00E61621" w:rsidP="007C3F06">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p w:rsidR="00E61621" w:rsidRPr="001342A8" w:rsidRDefault="00E61621" w:rsidP="007C3F06">
            <w:pPr>
              <w:bidi w:val="0"/>
              <w:jc w:val="center"/>
              <w:rPr>
                <w:rFonts w:ascii="David" w:hAnsi="David"/>
                <w:b/>
                <w:bCs/>
                <w:noProof w:val="0"/>
                <w:u w:val="single"/>
                <w:rtl/>
              </w:rPr>
            </w:pPr>
            <w:r>
              <w:rPr>
                <w:rFonts w:ascii="David" w:hAnsi="David" w:hint="cs"/>
                <w:b/>
                <w:bCs/>
                <w:noProof w:val="0"/>
                <w:u w:val="single"/>
                <w:rtl/>
              </w:rPr>
              <w:t>בבקשה לסילוק התביעה על הסף</w:t>
            </w:r>
          </w:p>
          <w:p w:rsidR="00E61621" w:rsidRPr="00D44968" w:rsidRDefault="00E61621" w:rsidP="007C3F06">
            <w:pPr>
              <w:bidi w:val="0"/>
              <w:jc w:val="center"/>
              <w:rPr>
                <w:rFonts w:ascii="Arial" w:hAnsi="Arial"/>
                <w:b/>
                <w:bCs/>
                <w:noProof w:val="0"/>
                <w:sz w:val="28"/>
                <w:szCs w:val="28"/>
                <w:u w:val="single"/>
              </w:rPr>
            </w:pPr>
          </w:p>
        </w:tc>
      </w:tr>
    </w:tbl>
    <w:p w:rsidR="00E61621" w:rsidRDefault="00E61621" w:rsidP="00E61621">
      <w:pPr>
        <w:spacing w:line="360" w:lineRule="auto"/>
        <w:jc w:val="both"/>
        <w:rPr>
          <w:rFonts w:ascii="David" w:hAnsi="David"/>
          <w:b/>
          <w:bCs/>
          <w:sz w:val="28"/>
          <w:szCs w:val="28"/>
          <w:u w:val="single"/>
          <w:rtl/>
        </w:rPr>
      </w:pPr>
      <w:bookmarkStart w:id="1" w:name="NGCSBookmark"/>
      <w:bookmarkEnd w:id="1"/>
      <w:r>
        <w:rPr>
          <w:rFonts w:ascii="David" w:hAnsi="David"/>
          <w:rtl/>
        </w:rPr>
        <w:t xml:space="preserve">לפני בקשה למחיקת התביעה על הסף. בקשתה של הנתבעת נסמכת על שני יסודות. היסוד הראשון הועלה במסגרת כתב הגנתה של הנתבעת והיסוד השני הועלה בתגובתה של הנתבעת לבקשת התובע לתיקון כתב התביעה. </w:t>
      </w:r>
    </w:p>
    <w:p w:rsidR="00E61621" w:rsidRDefault="00E61621" w:rsidP="00E61621">
      <w:pPr>
        <w:spacing w:line="360" w:lineRule="auto"/>
        <w:jc w:val="both"/>
        <w:rPr>
          <w:rFonts w:ascii="David" w:hAnsi="David"/>
          <w:b/>
          <w:bCs/>
          <w:sz w:val="28"/>
          <w:szCs w:val="28"/>
          <w:u w:val="single"/>
          <w:rtl/>
        </w:rPr>
      </w:pPr>
    </w:p>
    <w:p w:rsidR="00E61621" w:rsidRDefault="00E61621" w:rsidP="00E61621">
      <w:pPr>
        <w:spacing w:line="360" w:lineRule="auto"/>
        <w:jc w:val="both"/>
        <w:rPr>
          <w:rFonts w:ascii="David" w:hAnsi="David"/>
          <w:b/>
          <w:bCs/>
          <w:sz w:val="28"/>
          <w:szCs w:val="28"/>
          <w:rtl/>
        </w:rPr>
      </w:pPr>
      <w:r>
        <w:rPr>
          <w:rFonts w:ascii="David" w:hAnsi="David"/>
          <w:b/>
          <w:bCs/>
          <w:sz w:val="28"/>
          <w:szCs w:val="28"/>
          <w:u w:val="single"/>
          <w:rtl/>
        </w:rPr>
        <w:t>רקע עובדתי רלוונטי</w:t>
      </w:r>
      <w:r>
        <w:rPr>
          <w:rFonts w:ascii="David" w:hAnsi="David"/>
          <w:b/>
          <w:bCs/>
          <w:sz w:val="28"/>
          <w:szCs w:val="28"/>
          <w:rtl/>
        </w:rPr>
        <w:t>:</w:t>
      </w:r>
    </w:p>
    <w:p w:rsidR="00E61621" w:rsidRDefault="00E61621" w:rsidP="00E61621">
      <w:pPr>
        <w:spacing w:line="360" w:lineRule="auto"/>
        <w:jc w:val="both"/>
        <w:rPr>
          <w:rFonts w:ascii="David" w:hAnsi="David"/>
          <w:b/>
          <w:bCs/>
          <w:sz w:val="28"/>
          <w:szCs w:val="28"/>
          <w:rtl/>
        </w:rPr>
      </w:pPr>
    </w:p>
    <w:p w:rsidR="00E61621" w:rsidRDefault="00E61621" w:rsidP="00E61621">
      <w:pPr>
        <w:spacing w:line="360" w:lineRule="auto"/>
        <w:jc w:val="both"/>
        <w:rPr>
          <w:rFonts w:ascii="David" w:hAnsi="David"/>
          <w:b/>
          <w:bCs/>
          <w:rtl/>
        </w:rPr>
      </w:pPr>
      <w:r>
        <w:rPr>
          <w:rFonts w:ascii="David" w:hAnsi="David"/>
          <w:b/>
          <w:bCs/>
          <w:sz w:val="28"/>
          <w:szCs w:val="28"/>
          <w:rtl/>
        </w:rPr>
        <w:tab/>
      </w:r>
      <w:r>
        <w:rPr>
          <w:rFonts w:ascii="David" w:hAnsi="David"/>
          <w:b/>
          <w:bCs/>
          <w:u w:val="single"/>
          <w:rtl/>
        </w:rPr>
        <w:t>צו קיום הצוואה</w:t>
      </w:r>
      <w:r>
        <w:rPr>
          <w:rFonts w:ascii="David" w:hAnsi="David"/>
          <w:b/>
          <w:bCs/>
          <w:rtl/>
        </w:rPr>
        <w:t>:</w:t>
      </w:r>
    </w:p>
    <w:p w:rsidR="00E61621" w:rsidRDefault="00E61621" w:rsidP="00E61621">
      <w:pPr>
        <w:spacing w:line="360" w:lineRule="auto"/>
        <w:jc w:val="both"/>
        <w:rPr>
          <w:rFonts w:ascii="David" w:hAnsi="David"/>
          <w:b/>
          <w:bCs/>
          <w:rtl/>
        </w:rPr>
      </w:pPr>
    </w:p>
    <w:p w:rsidR="00E61621" w:rsidRPr="001342A8" w:rsidRDefault="00E61621" w:rsidP="006C5947">
      <w:pPr>
        <w:spacing w:line="360" w:lineRule="auto"/>
        <w:ind w:left="720" w:hanging="720"/>
        <w:jc w:val="both"/>
        <w:rPr>
          <w:rFonts w:ascii="David" w:hAnsi="David"/>
          <w:rtl/>
        </w:rPr>
      </w:pPr>
      <w:r w:rsidRPr="001342A8">
        <w:rPr>
          <w:rFonts w:ascii="David" w:hAnsi="David"/>
          <w:rtl/>
        </w:rPr>
        <w:t>1.</w:t>
      </w:r>
      <w:r>
        <w:rPr>
          <w:rFonts w:ascii="David" w:hAnsi="David"/>
          <w:rtl/>
        </w:rPr>
        <w:tab/>
      </w:r>
      <w:r w:rsidRPr="001342A8">
        <w:rPr>
          <w:rFonts w:ascii="David" w:hAnsi="David"/>
          <w:rtl/>
        </w:rPr>
        <w:t>ב-</w:t>
      </w:r>
      <w:r w:rsidRPr="001342A8">
        <w:rPr>
          <w:rFonts w:ascii="David" w:hAnsi="David"/>
          <w:u w:val="single"/>
          <w:rtl/>
        </w:rPr>
        <w:t>ת"ע 34991-11-19</w:t>
      </w:r>
      <w:r w:rsidRPr="001342A8">
        <w:rPr>
          <w:rFonts w:ascii="David" w:hAnsi="David"/>
          <w:rtl/>
        </w:rPr>
        <w:t xml:space="preserve">  ניתן בבית משפט זה  ביום 16/2/2020 צו קיום צוואה לצוואתה של המנוחה ס</w:t>
      </w:r>
      <w:r w:rsidR="006C5947">
        <w:rPr>
          <w:rFonts w:ascii="David" w:hAnsi="David" w:hint="cs"/>
          <w:rtl/>
        </w:rPr>
        <w:t>.</w:t>
      </w:r>
      <w:r w:rsidRPr="001342A8">
        <w:rPr>
          <w:rFonts w:ascii="David" w:hAnsi="David"/>
          <w:rtl/>
        </w:rPr>
        <w:t xml:space="preserve"> ד</w:t>
      </w:r>
      <w:r w:rsidR="006C5947">
        <w:rPr>
          <w:rFonts w:ascii="David" w:hAnsi="David" w:hint="cs"/>
          <w:rtl/>
        </w:rPr>
        <w:t>.</w:t>
      </w:r>
      <w:r w:rsidRPr="001342A8">
        <w:rPr>
          <w:rFonts w:ascii="David" w:hAnsi="David"/>
          <w:rtl/>
        </w:rPr>
        <w:t xml:space="preserve"> ז"ל שהלכה לבית עולמה ביום 10/3/2019 (להלן-</w:t>
      </w:r>
      <w:r w:rsidRPr="001342A8">
        <w:rPr>
          <w:rFonts w:ascii="Miriam" w:hAnsi="Miriam" w:cs="Miriam"/>
          <w:b/>
          <w:bCs/>
          <w:rtl/>
        </w:rPr>
        <w:t>המנוחה</w:t>
      </w:r>
      <w:r w:rsidRPr="001342A8">
        <w:rPr>
          <w:rFonts w:ascii="David" w:hAnsi="David"/>
          <w:rtl/>
        </w:rPr>
        <w:t xml:space="preserve">). הצוואה היא מיום 7/4/2017 (להלן- </w:t>
      </w:r>
      <w:r w:rsidRPr="001342A8">
        <w:rPr>
          <w:rFonts w:ascii="Miriam" w:hAnsi="Miriam" w:cs="Miriam"/>
          <w:b/>
          <w:bCs/>
          <w:rtl/>
        </w:rPr>
        <w:t>הצוואה</w:t>
      </w:r>
      <w:r w:rsidRPr="001342A8">
        <w:rPr>
          <w:rFonts w:ascii="David" w:hAnsi="David"/>
          <w:rtl/>
        </w:rPr>
        <w:t xml:space="preserve">). הצוואה נערכה ונחתמה בפלורידה שבארצות הברית  ונוסח המקור שלה הופקד בבית משפט במדינת פלורידה. בצוואתה הורישה המנוחה את כל רכושה  לאחייניתה, הגב' </w:t>
      </w:r>
      <w:r w:rsidR="006C5947">
        <w:rPr>
          <w:rFonts w:ascii="David" w:hAnsi="David"/>
          <w:rtl/>
        </w:rPr>
        <w:t>ר.</w:t>
      </w:r>
      <w:r w:rsidRPr="001342A8">
        <w:rPr>
          <w:rFonts w:ascii="David" w:hAnsi="David"/>
          <w:rtl/>
        </w:rPr>
        <w:t xml:space="preserve"> </w:t>
      </w:r>
      <w:r w:rsidR="006C5947">
        <w:rPr>
          <w:rFonts w:ascii="David" w:hAnsi="David"/>
          <w:rtl/>
        </w:rPr>
        <w:t>ש.</w:t>
      </w:r>
      <w:r w:rsidRPr="001342A8">
        <w:rPr>
          <w:rFonts w:ascii="David" w:hAnsi="David"/>
          <w:rtl/>
        </w:rPr>
        <w:t>- היא הנתבעת.</w:t>
      </w:r>
    </w:p>
    <w:p w:rsidR="00E61621" w:rsidRPr="001342A8" w:rsidRDefault="00E61621" w:rsidP="00E61621">
      <w:pPr>
        <w:ind w:left="720" w:hanging="720"/>
        <w:rPr>
          <w:rtl/>
        </w:rPr>
      </w:pPr>
    </w:p>
    <w:p w:rsidR="00E61621" w:rsidRDefault="00E61621" w:rsidP="00E61621">
      <w:pPr>
        <w:spacing w:line="360" w:lineRule="auto"/>
        <w:ind w:left="720" w:hanging="720"/>
        <w:jc w:val="both"/>
        <w:rPr>
          <w:rFonts w:ascii="David" w:hAnsi="David"/>
          <w:rtl/>
        </w:rPr>
      </w:pPr>
      <w:r>
        <w:rPr>
          <w:rFonts w:ascii="David" w:hAnsi="David"/>
          <w:rtl/>
        </w:rPr>
        <w:t>2.</w:t>
      </w:r>
      <w:r>
        <w:rPr>
          <w:rFonts w:ascii="David" w:hAnsi="David"/>
          <w:rtl/>
        </w:rPr>
        <w:tab/>
        <w:t>עובר למתן צו קיום הצוואה הוגשה לתיק קשור (</w:t>
      </w:r>
      <w:r>
        <w:rPr>
          <w:rFonts w:ascii="David" w:hAnsi="David"/>
          <w:u w:val="single"/>
          <w:rtl/>
        </w:rPr>
        <w:t>ת"ע 57867-10-19</w:t>
      </w:r>
      <w:r>
        <w:rPr>
          <w:rFonts w:ascii="David" w:hAnsi="David"/>
          <w:rtl/>
        </w:rPr>
        <w:t>) חוות דעת לדין הזר  שנערכה על ידי עו"ד שמואל אוברסקי (להלן-</w:t>
      </w:r>
      <w:r>
        <w:rPr>
          <w:rFonts w:ascii="Miriam" w:hAnsi="Miriam" w:cs="Miriam"/>
          <w:b/>
          <w:bCs/>
          <w:rtl/>
        </w:rPr>
        <w:t>המומחה לדין הזר</w:t>
      </w:r>
      <w:r>
        <w:rPr>
          <w:rFonts w:ascii="David" w:hAnsi="David"/>
          <w:rtl/>
        </w:rPr>
        <w:t>). על פי חוות הדעת הצוואה נחתמה בפני שני עדים בהתאם לחוקי מדינת פלורידה. צוין שהמנוחה התייחסה לנתבעת כבתה. לעניין תקפות הצוואה ומשמעותה נקבע בחוות הדעת ש"</w:t>
      </w:r>
      <w:r>
        <w:rPr>
          <w:rFonts w:ascii="David" w:hAnsi="David"/>
          <w:b/>
          <w:bCs/>
          <w:rtl/>
        </w:rPr>
        <w:t>כל האלמנטים הנדרשים מופיעים בצוואה, ולכן צוואה זו תקפה לפי חוקי מדינת פלורידה, חוקי מדינת פלורידה לא מצריכים חתימת נוטריון על מנת שצוואה תהיה בת תוקף</w:t>
      </w:r>
      <w:r>
        <w:rPr>
          <w:rFonts w:ascii="David" w:hAnsi="David"/>
          <w:rtl/>
        </w:rPr>
        <w:t>"</w:t>
      </w:r>
      <w:r>
        <w:rPr>
          <w:rFonts w:ascii="David" w:hAnsi="David" w:hint="cs"/>
          <w:rtl/>
        </w:rPr>
        <w:t>.</w:t>
      </w:r>
      <w:r>
        <w:rPr>
          <w:rFonts w:ascii="David" w:hAnsi="David"/>
          <w:rtl/>
        </w:rPr>
        <w:t xml:space="preserve"> עוד נקבע בחוות </w:t>
      </w:r>
      <w:r>
        <w:rPr>
          <w:rFonts w:ascii="David" w:hAnsi="David"/>
          <w:rtl/>
        </w:rPr>
        <w:lastRenderedPageBreak/>
        <w:t>הדעת ש "...</w:t>
      </w:r>
      <w:r>
        <w:rPr>
          <w:rFonts w:ascii="David" w:hAnsi="David"/>
          <w:b/>
          <w:bCs/>
          <w:rtl/>
        </w:rPr>
        <w:t>מקום מושב הקבע של המנוחה בעת מותה היה בפלורידה</w:t>
      </w:r>
      <w:r>
        <w:rPr>
          <w:rFonts w:ascii="David" w:hAnsi="David"/>
          <w:rtl/>
        </w:rPr>
        <w:t>" ו- "...</w:t>
      </w:r>
      <w:r>
        <w:rPr>
          <w:rFonts w:ascii="David" w:hAnsi="David"/>
          <w:b/>
          <w:bCs/>
          <w:rtl/>
        </w:rPr>
        <w:t>לכן יחולו על חלק עיזבונה של המנוחה שהינו מקרקעין בישראל דיני מדינת ישראל...בהתאם לצוואת המנוח</w:t>
      </w:r>
      <w:r>
        <w:rPr>
          <w:rFonts w:ascii="David" w:hAnsi="David"/>
          <w:rtl/>
        </w:rPr>
        <w:t>[ה],</w:t>
      </w:r>
      <w:r>
        <w:rPr>
          <w:rFonts w:ascii="David" w:hAnsi="David"/>
          <w:b/>
          <w:bCs/>
          <w:rtl/>
        </w:rPr>
        <w:t xml:space="preserve"> זכויות המנוחה בנכסיה בישראל, הן מקרקעין והן מיטלטלין, יעברו בחלקים שווים לבנות</w:t>
      </w:r>
      <w:r>
        <w:rPr>
          <w:rFonts w:ascii="David" w:hAnsi="David"/>
          <w:rtl/>
        </w:rPr>
        <w:t xml:space="preserve"> (כך במקור) </w:t>
      </w:r>
      <w:r>
        <w:rPr>
          <w:rFonts w:ascii="David" w:hAnsi="David"/>
          <w:b/>
          <w:bCs/>
          <w:rtl/>
        </w:rPr>
        <w:t>המנוחה</w:t>
      </w:r>
      <w:r>
        <w:rPr>
          <w:rFonts w:ascii="David" w:hAnsi="David"/>
          <w:rtl/>
        </w:rPr>
        <w:t>".</w:t>
      </w:r>
    </w:p>
    <w:p w:rsidR="00E61621" w:rsidRDefault="00E61621" w:rsidP="00E61621">
      <w:pPr>
        <w:spacing w:line="360" w:lineRule="auto"/>
        <w:ind w:left="720" w:hanging="720"/>
        <w:jc w:val="both"/>
        <w:rPr>
          <w:rFonts w:ascii="David" w:hAnsi="David"/>
          <w:rtl/>
        </w:rPr>
      </w:pPr>
    </w:p>
    <w:p w:rsidR="00E61621" w:rsidRDefault="00E61621" w:rsidP="00E61621">
      <w:pPr>
        <w:spacing w:line="360" w:lineRule="auto"/>
        <w:ind w:left="720"/>
        <w:jc w:val="both"/>
        <w:rPr>
          <w:rFonts w:ascii="David" w:hAnsi="David"/>
          <w:rtl/>
        </w:rPr>
      </w:pPr>
      <w:r>
        <w:rPr>
          <w:rFonts w:ascii="David" w:hAnsi="David"/>
          <w:rtl/>
        </w:rPr>
        <w:t xml:space="preserve"> בפרק המסקנות ציין המומחה לדין הזר ש"</w:t>
      </w:r>
      <w:r>
        <w:rPr>
          <w:rFonts w:ascii="David" w:hAnsi="David"/>
          <w:b/>
          <w:bCs/>
          <w:rtl/>
        </w:rPr>
        <w:t xml:space="preserve">בהתאם לצוואת המנוחה, כל זכויות המנוחה בנכסי מקרקעין ומיטלטלין בישראל יעברו לגברת </w:t>
      </w:r>
      <w:r w:rsidR="006C5947">
        <w:rPr>
          <w:rFonts w:ascii="David" w:hAnsi="David"/>
          <w:b/>
          <w:bCs/>
          <w:rtl/>
        </w:rPr>
        <w:t>ר.</w:t>
      </w:r>
      <w:r>
        <w:rPr>
          <w:rFonts w:ascii="David" w:hAnsi="David"/>
          <w:b/>
          <w:bCs/>
          <w:rtl/>
        </w:rPr>
        <w:t xml:space="preserve"> </w:t>
      </w:r>
      <w:r w:rsidR="006C5947">
        <w:rPr>
          <w:rFonts w:ascii="David" w:hAnsi="David"/>
          <w:b/>
          <w:bCs/>
          <w:rtl/>
        </w:rPr>
        <w:t>ש.</w:t>
      </w:r>
      <w:r>
        <w:rPr>
          <w:rFonts w:ascii="David" w:hAnsi="David"/>
          <w:rtl/>
        </w:rPr>
        <w:t xml:space="preserve">". </w:t>
      </w:r>
    </w:p>
    <w:p w:rsidR="00E61621" w:rsidRDefault="00E61621" w:rsidP="00E61621">
      <w:pPr>
        <w:spacing w:line="360" w:lineRule="auto"/>
        <w:ind w:left="720"/>
        <w:jc w:val="both"/>
        <w:rPr>
          <w:rFonts w:ascii="David" w:hAnsi="David"/>
          <w:rtl/>
        </w:rPr>
      </w:pPr>
    </w:p>
    <w:p w:rsidR="00E61621" w:rsidRPr="00C744FD" w:rsidRDefault="00E61621" w:rsidP="00E61621">
      <w:pPr>
        <w:spacing w:line="360" w:lineRule="auto"/>
        <w:ind w:left="720" w:hanging="6"/>
        <w:jc w:val="both"/>
        <w:rPr>
          <w:rFonts w:ascii="David" w:hAnsi="David"/>
          <w:b/>
          <w:bCs/>
          <w:rtl/>
        </w:rPr>
      </w:pPr>
      <w:r w:rsidRPr="00C744FD">
        <w:rPr>
          <w:rFonts w:ascii="David" w:hAnsi="David"/>
          <w:b/>
          <w:bCs/>
          <w:u w:val="single"/>
          <w:rtl/>
        </w:rPr>
        <w:t>בקשה לעיון בתיק</w:t>
      </w:r>
      <w:r w:rsidRPr="00C744FD">
        <w:rPr>
          <w:rFonts w:ascii="David" w:hAnsi="David"/>
          <w:b/>
          <w:bCs/>
          <w:rtl/>
        </w:rPr>
        <w:t>:</w:t>
      </w:r>
    </w:p>
    <w:p w:rsidR="00E61621" w:rsidRDefault="00E61621" w:rsidP="00E61621">
      <w:pPr>
        <w:spacing w:line="360" w:lineRule="auto"/>
        <w:ind w:left="720"/>
        <w:jc w:val="both"/>
        <w:rPr>
          <w:rFonts w:ascii="David" w:hAnsi="David"/>
          <w:b/>
          <w:bCs/>
          <w:rtl/>
        </w:rPr>
      </w:pPr>
    </w:p>
    <w:p w:rsidR="00E61621" w:rsidRDefault="00E61621" w:rsidP="006C5947">
      <w:pPr>
        <w:spacing w:line="360" w:lineRule="auto"/>
        <w:ind w:left="714" w:hanging="630"/>
        <w:jc w:val="both"/>
        <w:rPr>
          <w:rFonts w:ascii="David" w:hAnsi="David"/>
          <w:rtl/>
        </w:rPr>
      </w:pPr>
      <w:r>
        <w:rPr>
          <w:rFonts w:ascii="David" w:hAnsi="David"/>
          <w:rtl/>
        </w:rPr>
        <w:t>3.</w:t>
      </w:r>
      <w:r>
        <w:rPr>
          <w:rFonts w:ascii="David" w:hAnsi="David"/>
          <w:rtl/>
        </w:rPr>
        <w:tab/>
        <w:t>ביום 24/5/2022 כשנתיים לאחר מתן צו קיום הצוואה הוגשה לתיק (</w:t>
      </w:r>
      <w:r>
        <w:rPr>
          <w:rFonts w:ascii="David" w:hAnsi="David"/>
          <w:u w:val="single"/>
          <w:rtl/>
        </w:rPr>
        <w:t xml:space="preserve">ת"ע 34991-11-19) </w:t>
      </w:r>
      <w:r>
        <w:rPr>
          <w:rFonts w:ascii="David" w:hAnsi="David"/>
          <w:rtl/>
        </w:rPr>
        <w:t xml:space="preserve"> בקשה של התובע ובנו, מר ל</w:t>
      </w:r>
      <w:r w:rsidR="006C5947">
        <w:rPr>
          <w:rFonts w:ascii="David" w:hAnsi="David" w:hint="cs"/>
          <w:rtl/>
        </w:rPr>
        <w:t>.</w:t>
      </w:r>
      <w:r>
        <w:rPr>
          <w:rFonts w:ascii="David" w:hAnsi="David"/>
          <w:rtl/>
        </w:rPr>
        <w:t xml:space="preserve"> ש</w:t>
      </w:r>
      <w:r w:rsidR="006C5947">
        <w:rPr>
          <w:rFonts w:ascii="David" w:hAnsi="David" w:hint="cs"/>
          <w:rtl/>
        </w:rPr>
        <w:t>.</w:t>
      </w:r>
      <w:r>
        <w:rPr>
          <w:rFonts w:ascii="David" w:hAnsi="David"/>
          <w:rtl/>
        </w:rPr>
        <w:t>, שהוגדרה כ- "</w:t>
      </w:r>
      <w:r>
        <w:rPr>
          <w:rFonts w:ascii="David" w:hAnsi="David"/>
          <w:u w:val="single"/>
          <w:rtl/>
        </w:rPr>
        <w:t>בקשה דחופה להתיר למבקשים לעיין בתיק שבכותרת</w:t>
      </w:r>
      <w:r>
        <w:rPr>
          <w:rFonts w:ascii="David" w:hAnsi="David"/>
          <w:rtl/>
        </w:rPr>
        <w:t>". בבקשתם עתרו להתיר להם "...</w:t>
      </w:r>
      <w:r>
        <w:rPr>
          <w:rFonts w:ascii="David" w:hAnsi="David"/>
          <w:b/>
          <w:bCs/>
          <w:rtl/>
        </w:rPr>
        <w:t xml:space="preserve">לעיין בתיק שבכותרת  ובפרט בצוואת המנוחה </w:t>
      </w:r>
      <w:r w:rsidR="006C5947">
        <w:rPr>
          <w:rFonts w:ascii="David" w:hAnsi="David"/>
          <w:b/>
          <w:bCs/>
          <w:rtl/>
        </w:rPr>
        <w:t>ס.</w:t>
      </w:r>
      <w:r>
        <w:rPr>
          <w:rFonts w:ascii="David" w:hAnsi="David"/>
          <w:b/>
          <w:bCs/>
          <w:rtl/>
        </w:rPr>
        <w:t xml:space="preserve"> </w:t>
      </w:r>
      <w:r w:rsidR="006C5947">
        <w:rPr>
          <w:rFonts w:ascii="David" w:hAnsi="David"/>
          <w:b/>
          <w:bCs/>
          <w:rtl/>
        </w:rPr>
        <w:t>ד.</w:t>
      </w:r>
      <w:r>
        <w:rPr>
          <w:rFonts w:ascii="David" w:hAnsi="David"/>
          <w:b/>
          <w:bCs/>
          <w:rtl/>
        </w:rPr>
        <w:t xml:space="preserve"> אשר קיבלה תוקף ע"י ביהמ"ש הנכבד. המבקשים הופתעו לגלות כי נעשו פעולות רישום בשתי דירות ע"פ הצוואה. קיים חשש כבד לגבי כשרות הצוואה. ככל שביהמ"ש הנכבד יתיר למבקשים לעיין בצוואת  המנוחה, תינתן להם אפשרות להציג לבית המשפט ראיות מוצקות אשר יש בכוחן לשנות את תוצאות הצוואה כלפי שתי דירות כפי שיפורט להלן</w:t>
      </w:r>
      <w:r>
        <w:rPr>
          <w:rFonts w:ascii="David" w:hAnsi="David"/>
          <w:rtl/>
        </w:rPr>
        <w:t>".</w:t>
      </w:r>
    </w:p>
    <w:p w:rsidR="00E61621" w:rsidRDefault="00E61621" w:rsidP="00E61621">
      <w:pPr>
        <w:spacing w:line="360" w:lineRule="auto"/>
        <w:ind w:left="714" w:hanging="630"/>
        <w:jc w:val="both"/>
        <w:rPr>
          <w:rFonts w:ascii="David" w:hAnsi="David"/>
          <w:rtl/>
        </w:rPr>
      </w:pPr>
    </w:p>
    <w:p w:rsidR="00E61621" w:rsidRDefault="00E61621" w:rsidP="006C5947">
      <w:pPr>
        <w:spacing w:line="360" w:lineRule="auto"/>
        <w:ind w:left="714" w:hanging="630"/>
        <w:jc w:val="both"/>
        <w:rPr>
          <w:rFonts w:ascii="David" w:hAnsi="David"/>
          <w:rtl/>
        </w:rPr>
      </w:pPr>
      <w:r>
        <w:rPr>
          <w:rFonts w:ascii="David" w:hAnsi="David"/>
          <w:rtl/>
        </w:rPr>
        <w:tab/>
        <w:t xml:space="preserve">בגוף הבקשה התייחסו המבקשים לטעות, לכאורה, העולה מצו קיום הצוואה ביחס לשתי דירות באילת שהיו רשומות על שם המנוחה: האחת, רשומה כולה על שם המנוחה (דירה הידועה כגוש </w:t>
      </w:r>
      <w:r w:rsidR="006C5947">
        <w:rPr>
          <w:rFonts w:ascii="David" w:hAnsi="David" w:hint="cs"/>
        </w:rPr>
        <w:t>XXX</w:t>
      </w:r>
      <w:r>
        <w:rPr>
          <w:rFonts w:ascii="David" w:hAnsi="David"/>
          <w:rtl/>
        </w:rPr>
        <w:t xml:space="preserve"> חלקה </w:t>
      </w:r>
      <w:r w:rsidR="006C5947">
        <w:rPr>
          <w:rFonts w:ascii="David" w:hAnsi="David" w:hint="cs"/>
        </w:rPr>
        <w:t>XX</w:t>
      </w:r>
      <w:r>
        <w:rPr>
          <w:rFonts w:ascii="David" w:hAnsi="David"/>
          <w:rtl/>
        </w:rPr>
        <w:t xml:space="preserve"> תת חלקה </w:t>
      </w:r>
      <w:r w:rsidR="006C5947">
        <w:rPr>
          <w:rFonts w:ascii="David" w:hAnsi="David" w:hint="cs"/>
        </w:rPr>
        <w:t>XX</w:t>
      </w:r>
      <w:r>
        <w:rPr>
          <w:rFonts w:ascii="David" w:hAnsi="David"/>
          <w:rtl/>
        </w:rPr>
        <w:t>). השנייה, בה רשומות מחצית הזכויות על שם המנוחה והמחצית השנייה על שם אותו ל</w:t>
      </w:r>
      <w:r w:rsidR="006C5947">
        <w:rPr>
          <w:rFonts w:ascii="David" w:hAnsi="David" w:hint="cs"/>
          <w:rtl/>
        </w:rPr>
        <w:t>.</w:t>
      </w:r>
      <w:r>
        <w:rPr>
          <w:rFonts w:ascii="David" w:hAnsi="David"/>
          <w:rtl/>
        </w:rPr>
        <w:t xml:space="preserve"> ש</w:t>
      </w:r>
      <w:r w:rsidR="006C5947">
        <w:rPr>
          <w:rFonts w:ascii="David" w:hAnsi="David" w:hint="cs"/>
          <w:rtl/>
        </w:rPr>
        <w:t>.</w:t>
      </w:r>
      <w:r>
        <w:rPr>
          <w:rFonts w:ascii="David" w:hAnsi="David"/>
          <w:rtl/>
        </w:rPr>
        <w:t xml:space="preserve">, המבקש 2 (ידועה כגוש </w:t>
      </w:r>
      <w:r w:rsidR="006C5947">
        <w:rPr>
          <w:rFonts w:ascii="David" w:hAnsi="David" w:hint="cs"/>
        </w:rPr>
        <w:t>XXX</w:t>
      </w:r>
      <w:r>
        <w:rPr>
          <w:rFonts w:ascii="David" w:hAnsi="David"/>
          <w:rtl/>
        </w:rPr>
        <w:t xml:space="preserve"> חלקה </w:t>
      </w:r>
      <w:r w:rsidR="006C5947">
        <w:rPr>
          <w:rFonts w:ascii="David" w:hAnsi="David" w:hint="cs"/>
        </w:rPr>
        <w:t>XXX</w:t>
      </w:r>
      <w:r>
        <w:rPr>
          <w:rFonts w:ascii="David" w:hAnsi="David"/>
          <w:rtl/>
        </w:rPr>
        <w:t xml:space="preserve"> תת חלקה </w:t>
      </w:r>
      <w:r w:rsidR="006C5947">
        <w:rPr>
          <w:rFonts w:ascii="David" w:hAnsi="David" w:hint="cs"/>
        </w:rPr>
        <w:t>X</w:t>
      </w:r>
      <w:r>
        <w:rPr>
          <w:rFonts w:ascii="David" w:hAnsi="David"/>
          <w:rtl/>
        </w:rPr>
        <w:t xml:space="preserve">).  </w:t>
      </w:r>
    </w:p>
    <w:p w:rsidR="00E61621" w:rsidRDefault="00E61621" w:rsidP="00E61621">
      <w:pPr>
        <w:spacing w:line="360" w:lineRule="auto"/>
        <w:ind w:left="714" w:hanging="630"/>
        <w:jc w:val="both"/>
        <w:rPr>
          <w:rFonts w:ascii="David" w:hAnsi="David"/>
          <w:rtl/>
        </w:rPr>
      </w:pPr>
    </w:p>
    <w:p w:rsidR="00E61621" w:rsidRDefault="00E61621" w:rsidP="00E61621">
      <w:pPr>
        <w:spacing w:line="360" w:lineRule="auto"/>
        <w:ind w:left="714" w:hanging="630"/>
        <w:jc w:val="both"/>
        <w:rPr>
          <w:rFonts w:ascii="David" w:hAnsi="David"/>
          <w:rtl/>
        </w:rPr>
      </w:pPr>
      <w:r>
        <w:rPr>
          <w:rFonts w:ascii="David" w:hAnsi="David"/>
          <w:rtl/>
        </w:rPr>
        <w:tab/>
        <w:t xml:space="preserve">בתגובתה לבקשה זו ביקשה המשיבה (הנתבעת דכאן) לדחות את הבקשה שהיא "מסע דייג" בעיזבון המנוחה והוגשה על ידי מי שאינם יורשיה של המנוחה או זוכים על פי הצוואה. הוסיפה וטענה המשיבה: </w:t>
      </w:r>
    </w:p>
    <w:p w:rsidR="00E61621" w:rsidRDefault="00E61621" w:rsidP="00E61621">
      <w:pPr>
        <w:spacing w:line="360" w:lineRule="auto"/>
        <w:ind w:left="714" w:hanging="630"/>
        <w:jc w:val="both"/>
        <w:rPr>
          <w:rFonts w:ascii="David" w:hAnsi="David"/>
          <w:rtl/>
        </w:rPr>
      </w:pPr>
    </w:p>
    <w:p w:rsidR="00E61621" w:rsidRPr="00C744FD" w:rsidRDefault="00E61621" w:rsidP="00E61621">
      <w:pPr>
        <w:spacing w:line="360" w:lineRule="auto"/>
        <w:ind w:left="714" w:hanging="630"/>
        <w:jc w:val="both"/>
        <w:rPr>
          <w:rFonts w:ascii="David" w:hAnsi="David"/>
          <w:rtl/>
        </w:rPr>
      </w:pPr>
      <w:r w:rsidRPr="00C744FD">
        <w:rPr>
          <w:rFonts w:ascii="David" w:hAnsi="David"/>
          <w:rtl/>
        </w:rPr>
        <w:tab/>
        <w:t>א</w:t>
      </w:r>
      <w:r>
        <w:rPr>
          <w:rFonts w:ascii="David" w:hAnsi="David"/>
          <w:rtl/>
        </w:rPr>
        <w:t>.</w:t>
      </w:r>
      <w:r>
        <w:rPr>
          <w:rFonts w:ascii="David" w:hAnsi="David"/>
          <w:rtl/>
        </w:rPr>
        <w:tab/>
      </w:r>
      <w:r w:rsidRPr="00C744FD">
        <w:rPr>
          <w:rFonts w:ascii="David" w:hAnsi="David"/>
          <w:rtl/>
        </w:rPr>
        <w:t>המבקש 1 אינו בעל זכות כלשהי באיזו מהדירות ולכן אין לו מעמד בבקשה.</w:t>
      </w:r>
    </w:p>
    <w:p w:rsidR="00E61621" w:rsidRPr="00C744FD" w:rsidRDefault="00E61621" w:rsidP="00E61621">
      <w:pPr>
        <w:ind w:left="714" w:hanging="630"/>
        <w:rPr>
          <w:rtl/>
        </w:rPr>
      </w:pPr>
    </w:p>
    <w:p w:rsidR="00E61621" w:rsidRDefault="00E61621" w:rsidP="00E61621">
      <w:pPr>
        <w:spacing w:line="360" w:lineRule="auto"/>
        <w:ind w:left="1434" w:hanging="720"/>
        <w:jc w:val="both"/>
        <w:rPr>
          <w:rFonts w:ascii="David" w:hAnsi="David"/>
          <w:rtl/>
        </w:rPr>
      </w:pPr>
      <w:r>
        <w:rPr>
          <w:rFonts w:ascii="David" w:hAnsi="David"/>
          <w:rtl/>
        </w:rPr>
        <w:t xml:space="preserve">ב. </w:t>
      </w:r>
      <w:r>
        <w:rPr>
          <w:rFonts w:ascii="David" w:hAnsi="David"/>
          <w:rtl/>
        </w:rPr>
        <w:tab/>
        <w:t>המבקשים היו מודעים לצוואה כבר ביום 13/5/2019 שכן זו נשלחה להם באותו מועד ע"י עו"ד אבנר סגל ועל כן בקשתם הוגשה בשיהוי ניכר. אם בכך לא די, המבקשים פנו לאחר הודעתו הנ"ל של עו"ד סגל "...</w:t>
      </w:r>
      <w:r>
        <w:rPr>
          <w:rFonts w:ascii="David" w:hAnsi="David"/>
          <w:b/>
          <w:bCs/>
          <w:rtl/>
        </w:rPr>
        <w:t>לבנקים בחו"ל ולמנהלי נכסים של המנוחה בחו"ל בדבר דרישות שונות ומשונות בכספי המנוחה ונדחו על ידם בטענה כי על פי צוואת המנוחה הם אינם יורשים ואין להם כל עניין בעיזבון המנוחה</w:t>
      </w:r>
      <w:r>
        <w:rPr>
          <w:rFonts w:ascii="David" w:hAnsi="David"/>
          <w:rtl/>
        </w:rPr>
        <w:t xml:space="preserve">".  </w:t>
      </w:r>
    </w:p>
    <w:p w:rsidR="00E61621" w:rsidRDefault="00E61621" w:rsidP="00E61621">
      <w:pPr>
        <w:spacing w:line="360" w:lineRule="auto"/>
        <w:ind w:left="1434" w:hanging="720"/>
        <w:jc w:val="both"/>
        <w:rPr>
          <w:rFonts w:ascii="David" w:hAnsi="David"/>
          <w:rtl/>
        </w:rPr>
      </w:pPr>
    </w:p>
    <w:p w:rsidR="00E61621" w:rsidRDefault="00E61621" w:rsidP="00E61621">
      <w:pPr>
        <w:spacing w:line="360" w:lineRule="auto"/>
        <w:ind w:left="1434" w:hanging="720"/>
        <w:jc w:val="both"/>
        <w:rPr>
          <w:rFonts w:ascii="David" w:hAnsi="David"/>
          <w:rtl/>
        </w:rPr>
      </w:pPr>
      <w:r>
        <w:rPr>
          <w:rFonts w:ascii="David" w:hAnsi="David"/>
          <w:rtl/>
        </w:rPr>
        <w:t>ג.</w:t>
      </w:r>
      <w:r>
        <w:rPr>
          <w:rFonts w:ascii="David" w:hAnsi="David"/>
          <w:rtl/>
        </w:rPr>
        <w:tab/>
        <w:t>התנהלות המבקשים באה לחפות על מעשיהם במהלך חיי המנוחה עת "...</w:t>
      </w:r>
      <w:r>
        <w:rPr>
          <w:rFonts w:ascii="David" w:hAnsi="David"/>
          <w:b/>
          <w:bCs/>
          <w:rtl/>
        </w:rPr>
        <w:t xml:space="preserve">נישלו הם את המנוחה מכספים המגיעים לה בגין השכרת הדירות על ידם ומבלי </w:t>
      </w:r>
      <w:r>
        <w:rPr>
          <w:rFonts w:ascii="David" w:hAnsi="David"/>
          <w:b/>
          <w:bCs/>
          <w:rtl/>
        </w:rPr>
        <w:lastRenderedPageBreak/>
        <w:t xml:space="preserve">להעביר לידיה את הכספים המגיעים לה. </w:t>
      </w:r>
      <w:r>
        <w:rPr>
          <w:rFonts w:ascii="David" w:hAnsi="David"/>
          <w:rtl/>
        </w:rPr>
        <w:t xml:space="preserve">... </w:t>
      </w:r>
      <w:r>
        <w:rPr>
          <w:rFonts w:ascii="David" w:hAnsi="David"/>
          <w:b/>
          <w:bCs/>
          <w:rtl/>
        </w:rPr>
        <w:t>המבקשים חוששים מפני המשיבה אשר מתעתדת להגיש כנגדם תביעה להשבת כספי העיזבון אשר נגבו על ידם ובשל כך מגישים את בקשתם כבקשת הפחדה אשר תגרום לשיטתם ותקוותם למשיבה לא להגיש כנגדם תביעה"</w:t>
      </w:r>
      <w:r>
        <w:rPr>
          <w:rFonts w:ascii="David" w:hAnsi="David"/>
          <w:rtl/>
        </w:rPr>
        <w:t>.</w:t>
      </w:r>
    </w:p>
    <w:p w:rsidR="00E61621" w:rsidRDefault="00E61621" w:rsidP="00E61621">
      <w:pPr>
        <w:spacing w:line="360" w:lineRule="auto"/>
        <w:ind w:left="1434" w:hanging="720"/>
        <w:jc w:val="both"/>
        <w:rPr>
          <w:rFonts w:ascii="David" w:hAnsi="David"/>
          <w:rtl/>
        </w:rPr>
      </w:pPr>
    </w:p>
    <w:p w:rsidR="00E61621" w:rsidRDefault="00E61621" w:rsidP="00E61621">
      <w:pPr>
        <w:spacing w:line="360" w:lineRule="auto"/>
        <w:ind w:left="1434" w:hanging="720"/>
        <w:jc w:val="both"/>
        <w:rPr>
          <w:rFonts w:ascii="David" w:hAnsi="David"/>
          <w:b/>
          <w:bCs/>
          <w:rtl/>
        </w:rPr>
      </w:pPr>
      <w:r>
        <w:rPr>
          <w:rFonts w:ascii="David" w:hAnsi="David"/>
          <w:b/>
          <w:bCs/>
          <w:u w:val="single"/>
          <w:rtl/>
        </w:rPr>
        <w:t>החלטה בבקשה</w:t>
      </w:r>
      <w:r>
        <w:rPr>
          <w:rFonts w:ascii="David" w:hAnsi="David"/>
          <w:b/>
          <w:bCs/>
          <w:rtl/>
        </w:rPr>
        <w:t>:</w:t>
      </w:r>
    </w:p>
    <w:p w:rsidR="00E61621" w:rsidRDefault="00E61621" w:rsidP="00E61621">
      <w:pPr>
        <w:spacing w:line="360" w:lineRule="auto"/>
        <w:ind w:left="1434" w:hanging="720"/>
        <w:jc w:val="both"/>
        <w:rPr>
          <w:rFonts w:ascii="David" w:hAnsi="David"/>
          <w:b/>
          <w:bCs/>
          <w:rtl/>
        </w:rPr>
      </w:pPr>
    </w:p>
    <w:p w:rsidR="00E61621" w:rsidRDefault="00E61621" w:rsidP="00E61621">
      <w:pPr>
        <w:spacing w:line="360" w:lineRule="auto"/>
        <w:ind w:left="651" w:hanging="567"/>
        <w:jc w:val="both"/>
        <w:rPr>
          <w:rFonts w:ascii="David" w:hAnsi="David"/>
          <w:rtl/>
        </w:rPr>
      </w:pPr>
      <w:r>
        <w:rPr>
          <w:rFonts w:ascii="David" w:hAnsi="David"/>
          <w:rtl/>
        </w:rPr>
        <w:t>4.</w:t>
      </w:r>
      <w:r>
        <w:rPr>
          <w:rFonts w:ascii="David" w:hAnsi="David"/>
          <w:rtl/>
        </w:rPr>
        <w:tab/>
      </w:r>
      <w:r>
        <w:rPr>
          <w:rFonts w:ascii="David" w:hAnsi="David"/>
          <w:rtl/>
        </w:rPr>
        <w:tab/>
        <w:t>ביום 30/8/2022 ניתנה למבקשים  זכות העיון.</w:t>
      </w:r>
    </w:p>
    <w:p w:rsidR="00E61621" w:rsidRDefault="00E61621" w:rsidP="00E61621">
      <w:pPr>
        <w:spacing w:line="360" w:lineRule="auto"/>
        <w:ind w:left="651" w:hanging="567"/>
        <w:jc w:val="both"/>
        <w:rPr>
          <w:rFonts w:ascii="David" w:hAnsi="David"/>
          <w:rtl/>
        </w:rPr>
      </w:pPr>
    </w:p>
    <w:p w:rsidR="00E61621" w:rsidRDefault="00E61621" w:rsidP="00E61621">
      <w:pPr>
        <w:spacing w:line="360" w:lineRule="auto"/>
        <w:ind w:left="651" w:hanging="567"/>
        <w:jc w:val="both"/>
        <w:rPr>
          <w:rFonts w:ascii="David" w:hAnsi="David"/>
          <w:b/>
          <w:bCs/>
          <w:rtl/>
        </w:rPr>
      </w:pPr>
      <w:r>
        <w:rPr>
          <w:rFonts w:ascii="David" w:hAnsi="David"/>
          <w:b/>
          <w:bCs/>
          <w:sz w:val="28"/>
          <w:szCs w:val="28"/>
          <w:u w:val="single"/>
          <w:rtl/>
        </w:rPr>
        <w:t>התביעה</w:t>
      </w:r>
      <w:r>
        <w:rPr>
          <w:rFonts w:ascii="David" w:hAnsi="David"/>
          <w:b/>
          <w:bCs/>
          <w:sz w:val="28"/>
          <w:szCs w:val="28"/>
          <w:rtl/>
        </w:rPr>
        <w:t>:</w:t>
      </w:r>
    </w:p>
    <w:p w:rsidR="00E61621" w:rsidRDefault="00E61621" w:rsidP="00E61621">
      <w:pPr>
        <w:spacing w:line="360" w:lineRule="auto"/>
        <w:ind w:left="651" w:hanging="567"/>
        <w:jc w:val="both"/>
        <w:rPr>
          <w:rFonts w:ascii="David" w:hAnsi="David"/>
          <w:b/>
          <w:bCs/>
          <w:rtl/>
        </w:rPr>
      </w:pPr>
    </w:p>
    <w:p w:rsidR="00E61621" w:rsidRDefault="00E61621" w:rsidP="00E61621">
      <w:pPr>
        <w:spacing w:line="360" w:lineRule="auto"/>
        <w:ind w:left="714" w:hanging="630"/>
        <w:jc w:val="both"/>
        <w:rPr>
          <w:rFonts w:ascii="David" w:hAnsi="David"/>
          <w:rtl/>
        </w:rPr>
      </w:pPr>
      <w:r>
        <w:rPr>
          <w:rFonts w:ascii="David" w:hAnsi="David"/>
          <w:rtl/>
        </w:rPr>
        <w:t>5.</w:t>
      </w:r>
      <w:r>
        <w:rPr>
          <w:rFonts w:ascii="David" w:hAnsi="David"/>
          <w:rtl/>
        </w:rPr>
        <w:tab/>
      </w:r>
      <w:r>
        <w:rPr>
          <w:rFonts w:ascii="David" w:hAnsi="David"/>
          <w:rtl/>
        </w:rPr>
        <w:tab/>
        <w:t xml:space="preserve">על אתר יאמר שבהחלטה זו לא תיבחנה טענות פרטניות של הצדדים (תדפיסי חשבון בנק, חשבונות, מועדי רכישה, העברות בנקאיות וכו') שכן אלו אינן נדרשות לצורך הכרעה בשאלה שלפני – מחיקת התביעה על הסף, אך הן יוצגו כחלק ממארג הטיעונים של הצדדים. </w:t>
      </w:r>
    </w:p>
    <w:p w:rsidR="00E61621" w:rsidRDefault="00E61621" w:rsidP="00E61621">
      <w:pPr>
        <w:spacing w:line="360" w:lineRule="auto"/>
        <w:ind w:left="714" w:hanging="630"/>
        <w:jc w:val="both"/>
        <w:rPr>
          <w:rFonts w:ascii="David" w:hAnsi="David"/>
          <w:rtl/>
        </w:rPr>
      </w:pPr>
    </w:p>
    <w:p w:rsidR="00E61621" w:rsidRDefault="00E61621" w:rsidP="00E61621">
      <w:pPr>
        <w:spacing w:line="360" w:lineRule="auto"/>
        <w:ind w:left="651" w:hanging="567"/>
        <w:jc w:val="both"/>
        <w:rPr>
          <w:rFonts w:ascii="David" w:hAnsi="David"/>
          <w:rtl/>
        </w:rPr>
      </w:pPr>
      <w:r>
        <w:rPr>
          <w:rFonts w:ascii="David" w:hAnsi="David"/>
          <w:rtl/>
        </w:rPr>
        <w:t>6.</w:t>
      </w:r>
      <w:r>
        <w:rPr>
          <w:rFonts w:ascii="David" w:hAnsi="David"/>
          <w:rtl/>
        </w:rPr>
        <w:tab/>
      </w:r>
      <w:r>
        <w:rPr>
          <w:rFonts w:ascii="David" w:hAnsi="David"/>
          <w:rtl/>
        </w:rPr>
        <w:tab/>
        <w:t>מהותה של התביעה היא תביעה למתן צו הצהרתי לפיו:</w:t>
      </w:r>
    </w:p>
    <w:p w:rsidR="00E61621" w:rsidRDefault="00E61621" w:rsidP="00E61621">
      <w:pPr>
        <w:spacing w:line="360" w:lineRule="auto"/>
        <w:ind w:left="651" w:hanging="567"/>
        <w:jc w:val="both"/>
        <w:rPr>
          <w:rFonts w:ascii="David" w:hAnsi="David"/>
          <w:rtl/>
        </w:rPr>
      </w:pPr>
    </w:p>
    <w:p w:rsidR="00E61621" w:rsidRDefault="00E61621" w:rsidP="006C5947">
      <w:pPr>
        <w:spacing w:line="360" w:lineRule="auto"/>
        <w:ind w:left="720"/>
        <w:jc w:val="both"/>
        <w:rPr>
          <w:rFonts w:ascii="David" w:hAnsi="David"/>
          <w:rtl/>
        </w:rPr>
      </w:pPr>
      <w:r>
        <w:rPr>
          <w:rFonts w:ascii="David" w:hAnsi="David"/>
          <w:rtl/>
        </w:rPr>
        <w:t xml:space="preserve">התובע הוא בעלים של מחצית הזכויות בדירה ברח' </w:t>
      </w:r>
      <w:r w:rsidR="006C5947">
        <w:rPr>
          <w:rFonts w:ascii="David" w:hAnsi="David" w:hint="cs"/>
        </w:rPr>
        <w:t>XXX</w:t>
      </w:r>
      <w:r>
        <w:rPr>
          <w:rFonts w:ascii="David" w:hAnsi="David"/>
          <w:rtl/>
        </w:rPr>
        <w:t xml:space="preserve"> באילת (להלן-</w:t>
      </w:r>
      <w:r>
        <w:rPr>
          <w:rFonts w:ascii="Miriam" w:hAnsi="Miriam" w:cs="Miriam"/>
          <w:b/>
          <w:bCs/>
          <w:rtl/>
        </w:rPr>
        <w:t>הדירה הראשונה</w:t>
      </w:r>
      <w:r>
        <w:rPr>
          <w:rFonts w:ascii="David" w:hAnsi="David"/>
          <w:rtl/>
        </w:rPr>
        <w:t>). המחצית השנייה של הזכויות בדירה זו רשומות על שמו של בנו של התובע ל</w:t>
      </w:r>
      <w:r w:rsidR="006C5947">
        <w:rPr>
          <w:rFonts w:ascii="David" w:hAnsi="David" w:hint="cs"/>
          <w:rtl/>
        </w:rPr>
        <w:t>.</w:t>
      </w:r>
      <w:r>
        <w:rPr>
          <w:rFonts w:ascii="David" w:hAnsi="David"/>
          <w:rtl/>
        </w:rPr>
        <w:t xml:space="preserve"> ש</w:t>
      </w:r>
      <w:r w:rsidR="006C5947">
        <w:rPr>
          <w:rFonts w:ascii="David" w:hAnsi="David" w:hint="cs"/>
          <w:rtl/>
        </w:rPr>
        <w:t>.</w:t>
      </w:r>
      <w:r>
        <w:rPr>
          <w:rFonts w:ascii="David" w:hAnsi="David"/>
          <w:rtl/>
        </w:rPr>
        <w:t xml:space="preserve">. </w:t>
      </w:r>
    </w:p>
    <w:p w:rsidR="00E61621" w:rsidRDefault="00E61621" w:rsidP="006C5947">
      <w:pPr>
        <w:spacing w:line="360" w:lineRule="auto"/>
        <w:ind w:left="720"/>
        <w:jc w:val="both"/>
        <w:rPr>
          <w:rFonts w:ascii="David" w:hAnsi="David"/>
          <w:rtl/>
        </w:rPr>
      </w:pPr>
      <w:r>
        <w:rPr>
          <w:rFonts w:ascii="David" w:hAnsi="David"/>
          <w:rtl/>
        </w:rPr>
        <w:t xml:space="preserve">התובע הוא הבעלים של מלוא הזכויות בדירה ברח' </w:t>
      </w:r>
      <w:r w:rsidR="006C5947">
        <w:rPr>
          <w:rFonts w:ascii="David" w:hAnsi="David" w:hint="cs"/>
        </w:rPr>
        <w:t>XXX</w:t>
      </w:r>
      <w:r w:rsidR="006C5947">
        <w:rPr>
          <w:rFonts w:ascii="David" w:hAnsi="David" w:hint="cs"/>
          <w:rtl/>
        </w:rPr>
        <w:t xml:space="preserve"> </w:t>
      </w:r>
      <w:r>
        <w:rPr>
          <w:rFonts w:ascii="David" w:hAnsi="David"/>
          <w:rtl/>
        </w:rPr>
        <w:t xml:space="preserve">באילת (להלן- </w:t>
      </w:r>
      <w:r>
        <w:rPr>
          <w:rFonts w:ascii="Miriam" w:hAnsi="Miriam" w:cs="Miriam"/>
          <w:b/>
          <w:bCs/>
          <w:rtl/>
        </w:rPr>
        <w:t>הדירה</w:t>
      </w:r>
      <w:r>
        <w:rPr>
          <w:rFonts w:ascii="David" w:hAnsi="David"/>
          <w:b/>
          <w:bCs/>
          <w:rtl/>
        </w:rPr>
        <w:t xml:space="preserve"> </w:t>
      </w:r>
      <w:r>
        <w:rPr>
          <w:rFonts w:ascii="Miriam" w:hAnsi="Miriam" w:cs="Miriam"/>
          <w:b/>
          <w:bCs/>
          <w:rtl/>
        </w:rPr>
        <w:t>השנייה</w:t>
      </w:r>
      <w:r>
        <w:rPr>
          <w:rFonts w:ascii="David" w:hAnsi="David"/>
          <w:rtl/>
        </w:rPr>
        <w:t>). (שתי הדירות יכונו -</w:t>
      </w:r>
      <w:r>
        <w:rPr>
          <w:rFonts w:ascii="Miriam" w:hAnsi="Miriam" w:cs="Miriam"/>
          <w:b/>
          <w:bCs/>
          <w:rtl/>
        </w:rPr>
        <w:t>הדירות</w:t>
      </w:r>
      <w:r>
        <w:rPr>
          <w:rFonts w:ascii="David" w:hAnsi="David"/>
          <w:rtl/>
        </w:rPr>
        <w:t>). זכויות הבעלות בדירות (המחצית בדירה הראשונה והדירה השנייה) בעת פטירת המנוחה ובעת מתן צו קיום הצוואה היו רשומות על שמה.</w:t>
      </w:r>
    </w:p>
    <w:p w:rsidR="00E61621" w:rsidRDefault="00E61621" w:rsidP="00E61621">
      <w:pPr>
        <w:spacing w:line="360" w:lineRule="auto"/>
        <w:ind w:left="720"/>
        <w:jc w:val="both"/>
        <w:rPr>
          <w:rFonts w:ascii="David" w:hAnsi="David"/>
          <w:rtl/>
        </w:rPr>
      </w:pPr>
    </w:p>
    <w:p w:rsidR="00E61621" w:rsidRDefault="00E61621" w:rsidP="00E61621">
      <w:pPr>
        <w:spacing w:line="360" w:lineRule="auto"/>
        <w:ind w:left="651"/>
        <w:jc w:val="both"/>
        <w:rPr>
          <w:rFonts w:ascii="David" w:hAnsi="David"/>
          <w:b/>
          <w:bCs/>
          <w:rtl/>
        </w:rPr>
      </w:pPr>
      <w:r>
        <w:rPr>
          <w:rFonts w:ascii="David" w:hAnsi="David"/>
          <w:b/>
          <w:bCs/>
          <w:u w:val="single"/>
          <w:rtl/>
        </w:rPr>
        <w:t>עיקר טענות התובע בכתב התביעה</w:t>
      </w:r>
      <w:r>
        <w:rPr>
          <w:rFonts w:ascii="David" w:hAnsi="David"/>
          <w:b/>
          <w:bCs/>
          <w:rtl/>
        </w:rPr>
        <w:t>:</w:t>
      </w:r>
    </w:p>
    <w:p w:rsidR="00E61621" w:rsidRDefault="00E61621" w:rsidP="00E61621">
      <w:pPr>
        <w:spacing w:line="360" w:lineRule="auto"/>
        <w:ind w:left="651"/>
        <w:jc w:val="both"/>
        <w:rPr>
          <w:rFonts w:ascii="David" w:hAnsi="David"/>
          <w:b/>
          <w:bCs/>
          <w:rtl/>
        </w:rPr>
      </w:pPr>
    </w:p>
    <w:p w:rsidR="00E61621" w:rsidRDefault="00E61621" w:rsidP="00E61621">
      <w:pPr>
        <w:spacing w:line="360" w:lineRule="auto"/>
        <w:ind w:left="714" w:hanging="630"/>
        <w:jc w:val="both"/>
        <w:rPr>
          <w:rFonts w:ascii="David" w:hAnsi="David"/>
          <w:rtl/>
        </w:rPr>
      </w:pPr>
      <w:r>
        <w:rPr>
          <w:rFonts w:ascii="David" w:hAnsi="David"/>
          <w:rtl/>
        </w:rPr>
        <w:t>7.</w:t>
      </w:r>
      <w:r>
        <w:rPr>
          <w:rFonts w:ascii="David" w:hAnsi="David"/>
          <w:rtl/>
        </w:rPr>
        <w:tab/>
      </w:r>
      <w:r>
        <w:rPr>
          <w:rFonts w:ascii="David" w:hAnsi="David"/>
          <w:rtl/>
        </w:rPr>
        <w:tab/>
        <w:t>ביום 19/10/2022, הוגשה התביעה על ידי התובע בלבד (ללא בנו, המבקש 2 בבקשה לעיון בתיק) שהוגדרה "</w:t>
      </w:r>
      <w:r>
        <w:rPr>
          <w:rFonts w:ascii="David" w:hAnsi="David"/>
          <w:u w:val="single"/>
          <w:rtl/>
        </w:rPr>
        <w:t>רכושית שאינה לסכום קצוב; צו הצהרתי</w:t>
      </w:r>
      <w:r>
        <w:rPr>
          <w:rFonts w:ascii="David" w:hAnsi="David"/>
          <w:rtl/>
        </w:rPr>
        <w:t>" (להלן-</w:t>
      </w:r>
      <w:r>
        <w:rPr>
          <w:rFonts w:ascii="Miriam" w:hAnsi="Miriam" w:cs="Miriam"/>
          <w:b/>
          <w:bCs/>
          <w:rtl/>
        </w:rPr>
        <w:t>התביעה</w:t>
      </w:r>
      <w:r>
        <w:rPr>
          <w:rFonts w:ascii="David" w:hAnsi="David"/>
          <w:rtl/>
        </w:rPr>
        <w:t>).</w:t>
      </w:r>
    </w:p>
    <w:p w:rsidR="00E61621" w:rsidRDefault="00E61621" w:rsidP="00E61621">
      <w:pPr>
        <w:spacing w:line="360" w:lineRule="auto"/>
        <w:ind w:left="651" w:hanging="567"/>
        <w:jc w:val="both"/>
        <w:rPr>
          <w:rFonts w:ascii="David" w:hAnsi="David"/>
          <w:rtl/>
        </w:rPr>
      </w:pPr>
      <w:r>
        <w:rPr>
          <w:rFonts w:ascii="David" w:hAnsi="David"/>
          <w:rtl/>
        </w:rPr>
        <w:t>8.</w:t>
      </w:r>
      <w:r>
        <w:rPr>
          <w:rFonts w:ascii="David" w:hAnsi="David"/>
          <w:rtl/>
        </w:rPr>
        <w:tab/>
        <w:t>התובע מגולל בכתב תביעתו את מערכת היחסים הקרובה בינו לבין המנוחה עד שנת 2018 כשנה לפני פטירתה.</w:t>
      </w:r>
    </w:p>
    <w:p w:rsidR="00E61621" w:rsidRDefault="00E61621" w:rsidP="00E61621">
      <w:pPr>
        <w:spacing w:line="360" w:lineRule="auto"/>
        <w:ind w:left="651" w:hanging="567"/>
        <w:jc w:val="both"/>
        <w:rPr>
          <w:rFonts w:ascii="David" w:hAnsi="David"/>
          <w:rtl/>
        </w:rPr>
      </w:pPr>
    </w:p>
    <w:p w:rsidR="00E61621" w:rsidRDefault="00E61621" w:rsidP="00E61621">
      <w:pPr>
        <w:spacing w:line="360" w:lineRule="auto"/>
        <w:ind w:left="714" w:hanging="630"/>
        <w:jc w:val="both"/>
        <w:rPr>
          <w:rFonts w:ascii="David" w:hAnsi="David"/>
          <w:rtl/>
        </w:rPr>
      </w:pPr>
      <w:r>
        <w:rPr>
          <w:rFonts w:ascii="David" w:hAnsi="David"/>
          <w:rtl/>
        </w:rPr>
        <w:t>9.</w:t>
      </w:r>
      <w:r>
        <w:rPr>
          <w:rFonts w:ascii="David" w:hAnsi="David"/>
          <w:rtl/>
        </w:rPr>
        <w:tab/>
      </w:r>
      <w:r>
        <w:rPr>
          <w:rFonts w:ascii="David" w:hAnsi="David"/>
          <w:rtl/>
        </w:rPr>
        <w:tab/>
        <w:t>ביחס לדירות באילת הרשומות על שם המנוחה והן חלק מעיזבונה על פי צו הקיום טען שאלו רשומות רק באופן פורמלי על שם המנוחה. רישום פורמלי זה נעשה "...</w:t>
      </w:r>
      <w:r>
        <w:rPr>
          <w:rFonts w:ascii="David" w:hAnsi="David"/>
          <w:b/>
          <w:bCs/>
          <w:rtl/>
        </w:rPr>
        <w:t>בעצת המנוחה ...</w:t>
      </w:r>
      <w:r>
        <w:rPr>
          <w:rFonts w:ascii="David" w:hAnsi="David"/>
          <w:b/>
          <w:bCs/>
          <w:u w:val="single"/>
          <w:rtl/>
        </w:rPr>
        <w:t>והוא זה שבפועל מימן את רכישת שני הנכסים</w:t>
      </w:r>
      <w:r>
        <w:rPr>
          <w:rFonts w:ascii="David" w:hAnsi="David"/>
          <w:b/>
          <w:bCs/>
          <w:rtl/>
        </w:rPr>
        <w:t xml:space="preserve">, כמו גם את </w:t>
      </w:r>
      <w:r>
        <w:rPr>
          <w:rFonts w:ascii="David" w:hAnsi="David"/>
          <w:b/>
          <w:bCs/>
          <w:u w:val="single"/>
          <w:rtl/>
        </w:rPr>
        <w:t>תשלומי מס הרכישה</w:t>
      </w:r>
      <w:r>
        <w:rPr>
          <w:rFonts w:ascii="David" w:hAnsi="David"/>
          <w:b/>
          <w:bCs/>
          <w:rtl/>
        </w:rPr>
        <w:t>, ונהג בנכסים אלה כמנהג בעלים מזה שנים, באין מפריע ובלא שהמנוחה מוחה על כך ו/או מביעה כל טרוניה בעניין</w:t>
      </w:r>
      <w:r>
        <w:rPr>
          <w:rFonts w:ascii="David" w:hAnsi="David"/>
          <w:rtl/>
        </w:rPr>
        <w:t>" (הקו התחתי במקור). הסברו לאותו רישום פורמלי הוא חששו שמא לאחר רכישת הדירות וברבות הימים יצטרך לחלוק עם בת זוגו לעת ההיא הגב' א.ת. עמה ניהל מערכת זוגית ארוכת שנים. התובע התייעץ עם המנוחה וזו "...</w:t>
      </w:r>
      <w:r>
        <w:rPr>
          <w:rFonts w:ascii="David" w:hAnsi="David"/>
          <w:b/>
          <w:bCs/>
          <w:rtl/>
        </w:rPr>
        <w:t xml:space="preserve">שלא היו לה ילדים </w:t>
      </w:r>
      <w:r>
        <w:rPr>
          <w:rFonts w:ascii="David" w:hAnsi="David"/>
          <w:b/>
          <w:bCs/>
          <w:rtl/>
        </w:rPr>
        <w:lastRenderedPageBreak/>
        <w:t xml:space="preserve">או בן זוג, הפצירה בתובע לבל יעז לרכוש נכסים על שמו והציעה, "מטוב ליבה" כי נכסים אלו יירשמו בשלב זה על שמה. במקביל התחייבה המנוחה, לשם הזהירות וכערובה לרכישת הנכסים על שמה בישראל – </w:t>
      </w:r>
      <w:r>
        <w:rPr>
          <w:rFonts w:ascii="David" w:hAnsi="David"/>
          <w:b/>
          <w:bCs/>
          <w:u w:val="single"/>
          <w:rtl/>
        </w:rPr>
        <w:t>לפתוח חשבון משותף לה ולתובע בו יופקדו כספים כערובה לרכישת הנכסים בישראל ע"י התובע, ואף התחייבה לרכוש נכס ע"ש התובע בפלורידה – אשר יעמוד גם הוא כבטוחה לכספי השקעתו של התובע בנכסים בישראל. וכך היה</w:t>
      </w:r>
      <w:r>
        <w:rPr>
          <w:rFonts w:ascii="David" w:hAnsi="David"/>
          <w:rtl/>
        </w:rPr>
        <w:t xml:space="preserve">"   (הדגש בקו תחתי במקור) </w:t>
      </w:r>
      <w:r>
        <w:rPr>
          <w:rFonts w:ascii="David" w:hAnsi="David" w:hint="cs"/>
          <w:rtl/>
        </w:rPr>
        <w:t>.</w:t>
      </w:r>
    </w:p>
    <w:p w:rsidR="00E61621" w:rsidRDefault="00E61621" w:rsidP="00E61621">
      <w:pPr>
        <w:spacing w:line="360" w:lineRule="auto"/>
        <w:ind w:left="714" w:hanging="630"/>
        <w:jc w:val="both"/>
        <w:rPr>
          <w:rFonts w:ascii="David" w:hAnsi="David"/>
          <w:rtl/>
        </w:rPr>
      </w:pPr>
    </w:p>
    <w:p w:rsidR="00E61621" w:rsidRDefault="00E61621" w:rsidP="006C5947">
      <w:pPr>
        <w:spacing w:line="360" w:lineRule="auto"/>
        <w:ind w:left="714" w:hanging="630"/>
        <w:jc w:val="both"/>
        <w:rPr>
          <w:rFonts w:ascii="David" w:hAnsi="David"/>
          <w:rtl/>
        </w:rPr>
      </w:pPr>
      <w:r>
        <w:rPr>
          <w:rFonts w:ascii="David" w:hAnsi="David"/>
          <w:rtl/>
        </w:rPr>
        <w:t>10.</w:t>
      </w:r>
      <w:r>
        <w:rPr>
          <w:rFonts w:ascii="David" w:hAnsi="David"/>
          <w:rtl/>
        </w:rPr>
        <w:tab/>
      </w:r>
      <w:r>
        <w:rPr>
          <w:rFonts w:ascii="David" w:hAnsi="David"/>
          <w:rtl/>
        </w:rPr>
        <w:tab/>
        <w:t>עוד טען שהוא ובתו הקימו חברה בפלורידה (</w:t>
      </w:r>
      <w:r w:rsidR="006C5947">
        <w:rPr>
          <w:rFonts w:ascii="David" w:hAnsi="David" w:hint="cs"/>
        </w:rPr>
        <w:t>XXX</w:t>
      </w:r>
      <w:r>
        <w:rPr>
          <w:rFonts w:ascii="David" w:hAnsi="David"/>
          <w:rtl/>
        </w:rPr>
        <w:t>) והיו בעלי המניות בה. "...</w:t>
      </w:r>
      <w:r>
        <w:rPr>
          <w:rFonts w:ascii="David" w:hAnsi="David"/>
          <w:b/>
          <w:bCs/>
          <w:rtl/>
        </w:rPr>
        <w:t>החברה רכשה נכס מקרקעין בפלורידה בשווי של כ- 250,00 $</w:t>
      </w:r>
      <w:r>
        <w:rPr>
          <w:rFonts w:ascii="David" w:hAnsi="David"/>
          <w:rtl/>
        </w:rPr>
        <w:t>" (כך  במקור). התובע טען ש"</w:t>
      </w:r>
      <w:r>
        <w:rPr>
          <w:rFonts w:ascii="David" w:hAnsi="David"/>
          <w:b/>
          <w:bCs/>
          <w:rtl/>
        </w:rPr>
        <w:t>ככל הנראה, בעצתה והשפעתה של הנתבעת, העבירה המנוחה לפני מותה את כספי חשבון הבנק בפלורידה כמו גם את השליטה בחברה ע"ש הנתבעת, שלא כדין, ללא ידיעתו של התובע ובהיעדר כל הסכמה מצדו</w:t>
      </w:r>
      <w:r>
        <w:rPr>
          <w:rFonts w:ascii="David" w:hAnsi="David"/>
          <w:rtl/>
        </w:rPr>
        <w:t>".</w:t>
      </w:r>
    </w:p>
    <w:p w:rsidR="00E61621" w:rsidRDefault="00E61621" w:rsidP="00E61621">
      <w:pPr>
        <w:spacing w:line="360" w:lineRule="auto"/>
        <w:ind w:left="714" w:hanging="630"/>
        <w:jc w:val="both"/>
        <w:rPr>
          <w:rFonts w:ascii="David" w:hAnsi="David"/>
          <w:rtl/>
        </w:rPr>
      </w:pPr>
    </w:p>
    <w:p w:rsidR="00E61621" w:rsidRDefault="00E61621" w:rsidP="00E61621">
      <w:pPr>
        <w:spacing w:line="360" w:lineRule="auto"/>
        <w:ind w:left="714" w:hanging="630"/>
        <w:jc w:val="both"/>
        <w:rPr>
          <w:rFonts w:ascii="David" w:hAnsi="David"/>
          <w:rtl/>
        </w:rPr>
      </w:pPr>
      <w:r>
        <w:rPr>
          <w:rFonts w:ascii="David" w:hAnsi="David"/>
          <w:rtl/>
        </w:rPr>
        <w:t>11.</w:t>
      </w:r>
      <w:r>
        <w:rPr>
          <w:rFonts w:ascii="David" w:hAnsi="David"/>
          <w:rtl/>
        </w:rPr>
        <w:tab/>
      </w:r>
      <w:r>
        <w:rPr>
          <w:rFonts w:ascii="David" w:hAnsi="David"/>
          <w:rtl/>
        </w:rPr>
        <w:tab/>
        <w:t>"</w:t>
      </w:r>
      <w:r>
        <w:rPr>
          <w:rFonts w:ascii="David" w:hAnsi="David"/>
          <w:b/>
          <w:bCs/>
          <w:rtl/>
        </w:rPr>
        <w:t>טרם מותה, ולאחר שהתדרדרו היחסים בין התובע למנוחה, ניסה התובע בכל דרך להביא את המנוחה לחתום בפני הקונסול בפלורידה על מסמכי העברת הזכויות בנכסי המקרקעין בישראל על שמו, אלא שהמנוחה "התחמקה" מפניותיו של התובע בתירוצים כאלה ואחרים  (ככל הנראה תחת השפעתה של הנתבעת) והנכסים נותרו רשומים על שם המנוחה לאחר לכתה</w:t>
      </w:r>
      <w:r>
        <w:rPr>
          <w:rFonts w:ascii="David" w:hAnsi="David"/>
          <w:rtl/>
        </w:rPr>
        <w:t>".</w:t>
      </w:r>
    </w:p>
    <w:p w:rsidR="00E61621" w:rsidRDefault="00E61621" w:rsidP="00E61621">
      <w:pPr>
        <w:spacing w:line="360" w:lineRule="auto"/>
        <w:ind w:left="714" w:hanging="630"/>
        <w:jc w:val="both"/>
        <w:rPr>
          <w:rFonts w:ascii="David" w:hAnsi="David"/>
          <w:rtl/>
        </w:rPr>
      </w:pPr>
    </w:p>
    <w:p w:rsidR="00E61621" w:rsidRDefault="00E61621" w:rsidP="00E61621">
      <w:pPr>
        <w:spacing w:line="360" w:lineRule="auto"/>
        <w:ind w:left="714" w:hanging="630"/>
        <w:jc w:val="both"/>
        <w:rPr>
          <w:rFonts w:ascii="David" w:hAnsi="David"/>
          <w:rtl/>
        </w:rPr>
      </w:pPr>
      <w:r>
        <w:rPr>
          <w:rFonts w:ascii="David" w:hAnsi="David"/>
          <w:rtl/>
        </w:rPr>
        <w:t xml:space="preserve">12. </w:t>
      </w:r>
      <w:r>
        <w:rPr>
          <w:rFonts w:ascii="David" w:hAnsi="David"/>
          <w:rtl/>
        </w:rPr>
        <w:tab/>
        <w:t>למעשה טען התובע שהוא נפל "...</w:t>
      </w:r>
      <w:r>
        <w:rPr>
          <w:rFonts w:ascii="David" w:hAnsi="David"/>
          <w:b/>
          <w:bCs/>
          <w:rtl/>
        </w:rPr>
        <w:t>קרבן לתרמית שרקמה הנתבעת, כשמחד –נכסיו בארץ נותרו ע"ש המנוחה, ומנגד- הועלמו הכספים שהושקעו בפלורידה להבטחת זכויותיו של התובע בנכסי המקרקעין בישראל</w:t>
      </w:r>
      <w:r>
        <w:rPr>
          <w:rFonts w:ascii="David" w:hAnsi="David"/>
          <w:rtl/>
        </w:rPr>
        <w:t>".</w:t>
      </w:r>
    </w:p>
    <w:p w:rsidR="00E61621" w:rsidRDefault="00E61621" w:rsidP="00E61621">
      <w:pPr>
        <w:spacing w:line="360" w:lineRule="auto"/>
        <w:ind w:left="714" w:hanging="630"/>
        <w:jc w:val="both"/>
        <w:rPr>
          <w:rFonts w:ascii="David" w:hAnsi="David"/>
          <w:rtl/>
        </w:rPr>
      </w:pPr>
    </w:p>
    <w:p w:rsidR="00E61621" w:rsidRDefault="00E61621" w:rsidP="00E61621">
      <w:pPr>
        <w:spacing w:line="360" w:lineRule="auto"/>
        <w:ind w:left="651" w:hanging="567"/>
        <w:jc w:val="both"/>
        <w:rPr>
          <w:rFonts w:ascii="David" w:hAnsi="David"/>
          <w:b/>
          <w:bCs/>
          <w:rtl/>
        </w:rPr>
      </w:pPr>
      <w:r>
        <w:rPr>
          <w:rFonts w:ascii="David" w:hAnsi="David"/>
          <w:rtl/>
        </w:rPr>
        <w:t xml:space="preserve">  </w:t>
      </w:r>
      <w:r>
        <w:rPr>
          <w:rFonts w:ascii="David" w:hAnsi="David"/>
          <w:rtl/>
        </w:rPr>
        <w:tab/>
      </w:r>
      <w:r>
        <w:rPr>
          <w:rFonts w:ascii="David" w:hAnsi="David"/>
          <w:rtl/>
        </w:rPr>
        <w:tab/>
      </w:r>
      <w:r>
        <w:rPr>
          <w:rFonts w:ascii="David" w:hAnsi="David"/>
          <w:b/>
          <w:bCs/>
          <w:u w:val="single"/>
          <w:rtl/>
        </w:rPr>
        <w:t>עיקר טענות הנתבעת בכתב ההגנה</w:t>
      </w:r>
      <w:r>
        <w:rPr>
          <w:rFonts w:ascii="David" w:hAnsi="David"/>
          <w:b/>
          <w:bCs/>
          <w:rtl/>
        </w:rPr>
        <w:t>:</w:t>
      </w:r>
    </w:p>
    <w:p w:rsidR="00E61621" w:rsidRDefault="00E61621" w:rsidP="00E61621">
      <w:pPr>
        <w:spacing w:line="360" w:lineRule="auto"/>
        <w:ind w:left="651" w:hanging="567"/>
        <w:jc w:val="both"/>
        <w:rPr>
          <w:rFonts w:ascii="David" w:hAnsi="David"/>
          <w:b/>
          <w:bCs/>
          <w:rtl/>
        </w:rPr>
      </w:pPr>
    </w:p>
    <w:p w:rsidR="00E61621" w:rsidRDefault="00E61621" w:rsidP="00E61621">
      <w:pPr>
        <w:spacing w:line="360" w:lineRule="auto"/>
        <w:ind w:left="651" w:hanging="567"/>
        <w:jc w:val="both"/>
        <w:rPr>
          <w:rFonts w:ascii="David" w:hAnsi="David"/>
          <w:rtl/>
        </w:rPr>
      </w:pPr>
      <w:r>
        <w:rPr>
          <w:rFonts w:ascii="David" w:hAnsi="David"/>
          <w:rtl/>
        </w:rPr>
        <w:t>13.</w:t>
      </w:r>
      <w:r>
        <w:rPr>
          <w:rFonts w:ascii="David" w:hAnsi="David"/>
          <w:rtl/>
        </w:rPr>
        <w:tab/>
      </w:r>
      <w:r>
        <w:rPr>
          <w:rFonts w:ascii="David" w:hAnsi="David"/>
          <w:rtl/>
        </w:rPr>
        <w:tab/>
        <w:t>בפתח כתב הגנתה עתרה הנתבעת למחיקת התביעה על הסף ממספר טעמים:</w:t>
      </w:r>
    </w:p>
    <w:p w:rsidR="00E61621" w:rsidRDefault="00E61621" w:rsidP="00E61621">
      <w:pPr>
        <w:spacing w:line="360" w:lineRule="auto"/>
        <w:ind w:left="651" w:hanging="567"/>
        <w:jc w:val="both"/>
        <w:rPr>
          <w:rFonts w:ascii="David" w:hAnsi="David"/>
          <w:rtl/>
        </w:rPr>
      </w:pPr>
    </w:p>
    <w:p w:rsidR="00E61621" w:rsidRPr="00C744FD" w:rsidRDefault="00E61621" w:rsidP="00E61621">
      <w:pPr>
        <w:spacing w:line="360" w:lineRule="auto"/>
        <w:ind w:left="1440" w:hanging="720"/>
        <w:jc w:val="both"/>
        <w:rPr>
          <w:rFonts w:ascii="David" w:hAnsi="David"/>
          <w:rtl/>
        </w:rPr>
      </w:pPr>
      <w:r w:rsidRPr="00C744FD">
        <w:rPr>
          <w:rFonts w:ascii="David" w:hAnsi="David"/>
          <w:rtl/>
        </w:rPr>
        <w:t>א.</w:t>
      </w:r>
      <w:r>
        <w:rPr>
          <w:rFonts w:ascii="David" w:hAnsi="David"/>
          <w:rtl/>
        </w:rPr>
        <w:tab/>
      </w:r>
      <w:r w:rsidRPr="00C744FD">
        <w:rPr>
          <w:rFonts w:ascii="David" w:hAnsi="David"/>
          <w:rtl/>
        </w:rPr>
        <w:t>שיהוי: בהתייחסה לטענת השיהוי טענה שהשיהוי נפרש על שני היבטים: האחד, התביעה הוגשה בשיהוי של למעלה משנתיים וחצי מהמועד בו ניתן צו קיום הצוואה שכן התובע ידע בזמן מתן צו קיום הצוואה שהדירות רשומות על שם המנוחה.</w:t>
      </w:r>
    </w:p>
    <w:p w:rsidR="00E61621" w:rsidRPr="00C744FD" w:rsidRDefault="00E61621" w:rsidP="00E61621">
      <w:pPr>
        <w:ind w:left="1440" w:hanging="720"/>
        <w:rPr>
          <w:rtl/>
        </w:rPr>
      </w:pPr>
    </w:p>
    <w:p w:rsidR="00E61621" w:rsidRDefault="00E61621" w:rsidP="00E61621">
      <w:pPr>
        <w:spacing w:line="360" w:lineRule="auto"/>
        <w:ind w:left="1440"/>
        <w:jc w:val="both"/>
        <w:rPr>
          <w:rFonts w:ascii="David" w:hAnsi="David"/>
          <w:rtl/>
        </w:rPr>
      </w:pPr>
      <w:r>
        <w:rPr>
          <w:rFonts w:ascii="David" w:hAnsi="David"/>
          <w:rtl/>
        </w:rPr>
        <w:t xml:space="preserve">השני, על התובע היה להגיש תביעתו  במועד בו, לטענתו, התחמקה המנוחה מלחתום  על מסמכי העברת הזכויות בדירות על שמו. במיוחד נכונים הדברים, לטענתה, משעה שהריחוק בינו לבין המנוחה חל בשנת 2018 כשנה לפני פטירתה. </w:t>
      </w:r>
    </w:p>
    <w:p w:rsidR="00E61621" w:rsidRDefault="00E61621" w:rsidP="00E61621">
      <w:pPr>
        <w:spacing w:line="360" w:lineRule="auto"/>
        <w:ind w:left="1440"/>
        <w:jc w:val="both"/>
        <w:rPr>
          <w:rFonts w:ascii="David" w:hAnsi="David"/>
          <w:rtl/>
        </w:rPr>
      </w:pPr>
    </w:p>
    <w:p w:rsidR="00E61621" w:rsidRDefault="00E61621" w:rsidP="00E61621">
      <w:pPr>
        <w:spacing w:line="360" w:lineRule="auto"/>
        <w:ind w:left="1440" w:hanging="789"/>
        <w:jc w:val="both"/>
        <w:rPr>
          <w:rFonts w:ascii="David" w:hAnsi="David"/>
          <w:b/>
          <w:bCs/>
          <w:rtl/>
        </w:rPr>
      </w:pPr>
      <w:r>
        <w:rPr>
          <w:rFonts w:ascii="David" w:hAnsi="David"/>
          <w:b/>
          <w:bCs/>
          <w:rtl/>
        </w:rPr>
        <w:tab/>
      </w:r>
      <w:r>
        <w:rPr>
          <w:rFonts w:ascii="David" w:hAnsi="David"/>
          <w:rtl/>
        </w:rPr>
        <w:t>שיהוי זה "...</w:t>
      </w:r>
      <w:r>
        <w:rPr>
          <w:rFonts w:ascii="David" w:hAnsi="David"/>
          <w:b/>
          <w:bCs/>
          <w:rtl/>
        </w:rPr>
        <w:t>עולה כדי חוסר תום לב קיצוני שכן לא בכדי בחר התובע שלא להגיש תביעתו עת הייתה המנוחה בחיים ויכולה הייתה לדחות טענותיו"</w:t>
      </w:r>
      <w:r>
        <w:rPr>
          <w:rFonts w:ascii="David" w:hAnsi="David" w:hint="cs"/>
          <w:b/>
          <w:bCs/>
          <w:rtl/>
        </w:rPr>
        <w:t>.</w:t>
      </w:r>
      <w:r>
        <w:rPr>
          <w:rFonts w:ascii="David" w:hAnsi="David"/>
          <w:b/>
          <w:bCs/>
          <w:rtl/>
        </w:rPr>
        <w:t xml:space="preserve"> </w:t>
      </w:r>
    </w:p>
    <w:p w:rsidR="00E61621" w:rsidRDefault="00E61621" w:rsidP="00E61621">
      <w:pPr>
        <w:spacing w:line="360" w:lineRule="auto"/>
        <w:ind w:left="1440" w:hanging="789"/>
        <w:jc w:val="both"/>
        <w:rPr>
          <w:rFonts w:ascii="David" w:hAnsi="David"/>
          <w:b/>
          <w:bCs/>
          <w:rtl/>
        </w:rPr>
      </w:pPr>
    </w:p>
    <w:p w:rsidR="00E61621" w:rsidRDefault="00E61621" w:rsidP="00E61621">
      <w:pPr>
        <w:spacing w:line="360" w:lineRule="auto"/>
        <w:ind w:left="1440" w:hanging="720"/>
        <w:jc w:val="both"/>
        <w:rPr>
          <w:rFonts w:ascii="David" w:hAnsi="David"/>
          <w:rtl/>
        </w:rPr>
      </w:pPr>
      <w:r>
        <w:rPr>
          <w:rFonts w:ascii="David" w:hAnsi="David"/>
          <w:rtl/>
        </w:rPr>
        <w:lastRenderedPageBreak/>
        <w:t>ב.</w:t>
      </w:r>
      <w:r>
        <w:rPr>
          <w:rFonts w:ascii="David" w:hAnsi="David"/>
          <w:rtl/>
        </w:rPr>
        <w:tab/>
        <w:t>דרישת התובע בפועל היא ביטול צו קיום הצוואה. משעה שניתן צו קיום הצוואה והדירות נרשמו מכוחו על שם הנתבעת הרי ש"...</w:t>
      </w:r>
      <w:r>
        <w:rPr>
          <w:rFonts w:ascii="David" w:hAnsi="David"/>
          <w:b/>
          <w:bCs/>
          <w:rtl/>
        </w:rPr>
        <w:t xml:space="preserve">צד המעוניין להלין כנגד צו קיום צוואה, להתכבד ולהגיש תביעה לתיקון ושינוי צו קיום צוואה. בטח לא ניתן לבטל או לעקר מתוכן צו שיפוטי במסגרת הגשת בקשה מעין זו שהוגשה".  </w:t>
      </w:r>
      <w:r>
        <w:rPr>
          <w:rFonts w:ascii="David" w:hAnsi="David"/>
          <w:rtl/>
        </w:rPr>
        <w:t>על התובע היה להגיש תביעתו על פי סעיף 72 לחוק הירושה.</w:t>
      </w:r>
    </w:p>
    <w:p w:rsidR="00E61621" w:rsidRDefault="00E61621" w:rsidP="00E61621">
      <w:pPr>
        <w:spacing w:line="360" w:lineRule="auto"/>
        <w:ind w:left="1440" w:hanging="720"/>
        <w:jc w:val="both"/>
        <w:rPr>
          <w:rFonts w:ascii="David" w:hAnsi="David"/>
          <w:rtl/>
        </w:rPr>
      </w:pPr>
    </w:p>
    <w:p w:rsidR="00E61621" w:rsidRDefault="00E61621" w:rsidP="00E61621">
      <w:pPr>
        <w:spacing w:line="360" w:lineRule="auto"/>
        <w:ind w:left="84"/>
        <w:jc w:val="both"/>
        <w:rPr>
          <w:rFonts w:ascii="David" w:hAnsi="David"/>
          <w:rtl/>
        </w:rPr>
      </w:pPr>
      <w:r>
        <w:rPr>
          <w:rFonts w:ascii="David" w:hAnsi="David"/>
          <w:rtl/>
        </w:rPr>
        <w:t xml:space="preserve"> 14.</w:t>
      </w:r>
      <w:r>
        <w:rPr>
          <w:rFonts w:ascii="David" w:hAnsi="David"/>
          <w:rtl/>
        </w:rPr>
        <w:tab/>
        <w:t>לגופן של טענות התובע טענה הנתבעת:</w:t>
      </w:r>
    </w:p>
    <w:p w:rsidR="00E61621" w:rsidRDefault="00E61621" w:rsidP="00E61621">
      <w:pPr>
        <w:spacing w:line="360" w:lineRule="auto"/>
        <w:ind w:left="84"/>
        <w:jc w:val="both"/>
        <w:rPr>
          <w:rFonts w:ascii="David" w:hAnsi="David"/>
          <w:rtl/>
        </w:rPr>
      </w:pPr>
    </w:p>
    <w:p w:rsidR="00E61621" w:rsidRPr="00C744FD" w:rsidRDefault="00E61621" w:rsidP="00E61621">
      <w:pPr>
        <w:spacing w:line="360" w:lineRule="auto"/>
        <w:ind w:left="1440" w:hanging="720"/>
        <w:jc w:val="both"/>
        <w:rPr>
          <w:rFonts w:ascii="David" w:hAnsi="David"/>
          <w:b/>
          <w:bCs/>
          <w:rtl/>
        </w:rPr>
      </w:pPr>
      <w:r w:rsidRPr="00C744FD">
        <w:rPr>
          <w:rFonts w:ascii="David" w:hAnsi="David"/>
          <w:rtl/>
        </w:rPr>
        <w:t>א.</w:t>
      </w:r>
      <w:r>
        <w:rPr>
          <w:rFonts w:ascii="David" w:hAnsi="David"/>
          <w:rtl/>
        </w:rPr>
        <w:tab/>
      </w:r>
      <w:r w:rsidRPr="00C744FD">
        <w:rPr>
          <w:rFonts w:ascii="David" w:hAnsi="David"/>
          <w:rtl/>
        </w:rPr>
        <w:t>אין בפי התובע כל הסבר לקונסטרוקציה שהעלה בכתב התביעה. "</w:t>
      </w:r>
      <w:r w:rsidRPr="00C744FD">
        <w:rPr>
          <w:rFonts w:ascii="David" w:hAnsi="David"/>
          <w:b/>
          <w:bCs/>
          <w:rtl/>
        </w:rPr>
        <w:t xml:space="preserve">מדוע היתה צריכה בכלל המנוחה להסכים שדירות בישראל ירשמו על שמה (לטענת התובע באופן פיקטיבי)  וכשהיא מעמידה ערובות נטענות ומוכחשות בארה"ב". </w:t>
      </w:r>
    </w:p>
    <w:p w:rsidR="00E61621" w:rsidRPr="00C744FD" w:rsidRDefault="00E61621" w:rsidP="00E61621">
      <w:pPr>
        <w:ind w:left="1440" w:hanging="720"/>
        <w:rPr>
          <w:rtl/>
        </w:rPr>
      </w:pPr>
    </w:p>
    <w:p w:rsidR="006C5947" w:rsidRDefault="00E61621" w:rsidP="00E61621">
      <w:pPr>
        <w:spacing w:line="360" w:lineRule="auto"/>
        <w:ind w:left="1440" w:hanging="720"/>
        <w:jc w:val="both"/>
        <w:rPr>
          <w:rFonts w:ascii="David" w:hAnsi="David"/>
          <w:rtl/>
        </w:rPr>
      </w:pPr>
      <w:r>
        <w:rPr>
          <w:rFonts w:ascii="David" w:hAnsi="David"/>
          <w:rtl/>
        </w:rPr>
        <w:t>ב.</w:t>
      </w:r>
      <w:r>
        <w:rPr>
          <w:rFonts w:ascii="David" w:hAnsi="David"/>
          <w:rtl/>
        </w:rPr>
        <w:tab/>
        <w:t>המנוחה הייתה העוגן הכלכלי של התובע. בהיותה עתירת נכסים וממון ללא בעל וילדים "...</w:t>
      </w:r>
      <w:r>
        <w:rPr>
          <w:rFonts w:ascii="David" w:hAnsi="David"/>
          <w:b/>
          <w:bCs/>
          <w:rtl/>
        </w:rPr>
        <w:t xml:space="preserve">ראתה בתמימות בתובע, כאדם אמין לטפל בעסקיה בארץ, והוא אשר המליץ לה גם לרכוש דירות באילת </w:t>
      </w:r>
      <w:r>
        <w:rPr>
          <w:rFonts w:ascii="David" w:hAnsi="David"/>
          <w:rtl/>
        </w:rPr>
        <w:t>...</w:t>
      </w:r>
      <w:r>
        <w:rPr>
          <w:rFonts w:ascii="David" w:hAnsi="David"/>
          <w:b/>
          <w:bCs/>
          <w:rtl/>
        </w:rPr>
        <w:t>ומתוך אמונה בו היא סמכה את ידה עליו והעבירה סכומי עתק משך השנים לחשבונות הבנק שהיו על שמה בארץ בבנק הדואר ובבנק לאומי, חשבונות אשר במקצת השנים התובע היה רשום שם כ"מוטב", וכמי שיכול למשוך כספים או להפקיד לשם כספים</w:t>
      </w:r>
      <w:r>
        <w:rPr>
          <w:rFonts w:ascii="David" w:hAnsi="David"/>
          <w:rtl/>
        </w:rPr>
        <w:t xml:space="preserve">".  </w:t>
      </w:r>
    </w:p>
    <w:p w:rsidR="00E61621" w:rsidRDefault="00E61621" w:rsidP="00E61621">
      <w:pPr>
        <w:spacing w:line="360" w:lineRule="auto"/>
        <w:ind w:left="1440" w:hanging="720"/>
        <w:jc w:val="both"/>
        <w:rPr>
          <w:rFonts w:ascii="David" w:hAnsi="David"/>
          <w:rtl/>
        </w:rPr>
      </w:pPr>
      <w:r>
        <w:rPr>
          <w:rFonts w:ascii="David" w:hAnsi="David"/>
          <w:rtl/>
        </w:rPr>
        <w:t xml:space="preserve">  </w:t>
      </w:r>
    </w:p>
    <w:p w:rsidR="00E61621" w:rsidRDefault="00E61621" w:rsidP="00E61621">
      <w:pPr>
        <w:spacing w:line="360" w:lineRule="auto"/>
        <w:ind w:left="1440" w:hanging="720"/>
        <w:jc w:val="both"/>
        <w:rPr>
          <w:rFonts w:ascii="David" w:hAnsi="David"/>
          <w:b/>
          <w:bCs/>
          <w:rtl/>
        </w:rPr>
      </w:pPr>
      <w:r>
        <w:rPr>
          <w:rFonts w:ascii="David" w:hAnsi="David"/>
          <w:rtl/>
        </w:rPr>
        <w:t>ג.</w:t>
      </w:r>
      <w:r>
        <w:rPr>
          <w:rFonts w:ascii="David" w:hAnsi="David"/>
          <w:rtl/>
        </w:rPr>
        <w:tab/>
        <w:t>הדירות נרכשו במועדים שונים וכזכור הדירה הראשונה רשומה על שם בנו של התובע</w:t>
      </w:r>
      <w:r>
        <w:rPr>
          <w:rFonts w:ascii="David" w:hAnsi="David"/>
          <w:b/>
          <w:bCs/>
          <w:rtl/>
        </w:rPr>
        <w:t xml:space="preserve"> "</w:t>
      </w:r>
      <w:r>
        <w:rPr>
          <w:rFonts w:ascii="David" w:hAnsi="David"/>
          <w:b/>
          <w:bCs/>
          <w:u w:val="single"/>
          <w:rtl/>
        </w:rPr>
        <w:t>שהיה צריך להיות מצורף כצד לתביעה דנן</w:t>
      </w:r>
      <w:r>
        <w:rPr>
          <w:rFonts w:ascii="David" w:hAnsi="David"/>
          <w:b/>
          <w:bCs/>
          <w:rtl/>
        </w:rPr>
        <w:t xml:space="preserve">" </w:t>
      </w:r>
      <w:r>
        <w:rPr>
          <w:rFonts w:ascii="David" w:hAnsi="David"/>
          <w:rtl/>
        </w:rPr>
        <w:t>(הקו התחתי במקור)</w:t>
      </w:r>
      <w:r>
        <w:rPr>
          <w:rFonts w:ascii="David" w:hAnsi="David"/>
          <w:b/>
          <w:bCs/>
          <w:rtl/>
        </w:rPr>
        <w:t>.</w:t>
      </w:r>
    </w:p>
    <w:p w:rsidR="00E61621" w:rsidRDefault="00E61621" w:rsidP="00E61621">
      <w:pPr>
        <w:spacing w:line="360" w:lineRule="auto"/>
        <w:ind w:left="1440" w:hanging="720"/>
        <w:jc w:val="both"/>
        <w:rPr>
          <w:rFonts w:ascii="David" w:hAnsi="David"/>
          <w:b/>
          <w:bCs/>
          <w:rtl/>
        </w:rPr>
      </w:pPr>
    </w:p>
    <w:p w:rsidR="00E61621" w:rsidRDefault="00E61621" w:rsidP="006C5947">
      <w:pPr>
        <w:spacing w:line="360" w:lineRule="auto"/>
        <w:ind w:left="1440" w:hanging="726"/>
        <w:jc w:val="both"/>
        <w:rPr>
          <w:rFonts w:ascii="David" w:hAnsi="David"/>
          <w:rtl/>
        </w:rPr>
      </w:pPr>
      <w:r>
        <w:rPr>
          <w:rFonts w:ascii="David" w:hAnsi="David"/>
          <w:rtl/>
        </w:rPr>
        <w:t>ד.</w:t>
      </w:r>
      <w:r>
        <w:rPr>
          <w:rFonts w:ascii="David" w:hAnsi="David"/>
          <w:rtl/>
        </w:rPr>
        <w:tab/>
        <w:t>הנתבעת טענה שכשבועיים לפני רכישת הדירה הראשונה (ביום 30/07/2010) הועבר סך של 115,000 $ לחשבונו של בנו של התובע שעל שמו נרשמה המחצית השנייה של דירה זו</w:t>
      </w:r>
      <w:r>
        <w:rPr>
          <w:rFonts w:ascii="David" w:hAnsi="David"/>
          <w:b/>
          <w:bCs/>
          <w:rtl/>
        </w:rPr>
        <w:t xml:space="preserve"> "...תוך שהיא מציינת שהיא מעבירה סכום זה </w:t>
      </w:r>
      <w:r>
        <w:rPr>
          <w:rFonts w:ascii="David" w:hAnsi="David"/>
          <w:b/>
          <w:bCs/>
          <w:u w:val="double"/>
          <w:rtl/>
        </w:rPr>
        <w:t>לצורך רכישת דירה</w:t>
      </w:r>
      <w:r>
        <w:rPr>
          <w:rFonts w:ascii="David" w:hAnsi="David"/>
          <w:b/>
          <w:bCs/>
          <w:rtl/>
        </w:rPr>
        <w:t xml:space="preserve">". </w:t>
      </w:r>
      <w:r>
        <w:rPr>
          <w:rFonts w:ascii="David" w:hAnsi="David"/>
          <w:rtl/>
        </w:rPr>
        <w:t>(הדגש בקו תחתי במקור)</w:t>
      </w:r>
      <w:r>
        <w:rPr>
          <w:rFonts w:ascii="David" w:hAnsi="David"/>
          <w:b/>
          <w:bCs/>
          <w:rtl/>
        </w:rPr>
        <w:t xml:space="preserve"> </w:t>
      </w:r>
      <w:r>
        <w:rPr>
          <w:rFonts w:ascii="David" w:hAnsi="David"/>
          <w:rtl/>
        </w:rPr>
        <w:t>הנתבעת הפנתה למסמך בנקאי ממנו ניתן ללמוד שהתשלום לרכישת דירה זו יצא מחשבונו של הבן ל</w:t>
      </w:r>
      <w:r w:rsidR="006C5947">
        <w:rPr>
          <w:rFonts w:ascii="David" w:hAnsi="David" w:hint="cs"/>
          <w:rtl/>
        </w:rPr>
        <w:t>.</w:t>
      </w:r>
      <w:r>
        <w:rPr>
          <w:rFonts w:ascii="David" w:hAnsi="David"/>
          <w:rtl/>
        </w:rPr>
        <w:t xml:space="preserve"> </w:t>
      </w:r>
      <w:r w:rsidR="006C5947">
        <w:rPr>
          <w:rFonts w:ascii="David" w:hAnsi="David" w:hint="cs"/>
          <w:rtl/>
        </w:rPr>
        <w:t>ש</w:t>
      </w:r>
      <w:r>
        <w:rPr>
          <w:rFonts w:ascii="David" w:hAnsi="David"/>
          <w:rtl/>
        </w:rPr>
        <w:t xml:space="preserve">. המסקנה לטענתה היא </w:t>
      </w:r>
      <w:r>
        <w:rPr>
          <w:rFonts w:ascii="David" w:hAnsi="David"/>
          <w:b/>
          <w:bCs/>
          <w:rtl/>
        </w:rPr>
        <w:t xml:space="preserve">"שהמנוחה מימנה את  מלוא רכישת הדירה הראשונה (אותה רשמה מחצית ע"ש בנו של התובע כמתנה)" </w:t>
      </w:r>
      <w:r>
        <w:rPr>
          <w:rFonts w:ascii="David" w:hAnsi="David"/>
          <w:rtl/>
        </w:rPr>
        <w:t>וזאת באמצעות אותה העברה מוקדמת.</w:t>
      </w:r>
    </w:p>
    <w:p w:rsidR="00E61621" w:rsidRDefault="00E61621" w:rsidP="00E61621">
      <w:pPr>
        <w:spacing w:line="360" w:lineRule="auto"/>
        <w:ind w:left="1440" w:hanging="726"/>
        <w:jc w:val="both"/>
        <w:rPr>
          <w:rFonts w:ascii="David" w:hAnsi="David"/>
          <w:rtl/>
        </w:rPr>
      </w:pPr>
    </w:p>
    <w:p w:rsidR="00E61621" w:rsidRDefault="00E61621" w:rsidP="00E61621">
      <w:pPr>
        <w:spacing w:line="360" w:lineRule="auto"/>
        <w:ind w:left="1440" w:hanging="720"/>
        <w:jc w:val="both"/>
        <w:rPr>
          <w:rFonts w:ascii="David" w:hAnsi="David"/>
          <w:rtl/>
        </w:rPr>
      </w:pPr>
      <w:r>
        <w:rPr>
          <w:rFonts w:ascii="David" w:hAnsi="David"/>
          <w:rtl/>
        </w:rPr>
        <w:t>ה.</w:t>
      </w:r>
      <w:r>
        <w:rPr>
          <w:rFonts w:ascii="David" w:hAnsi="David"/>
          <w:rtl/>
        </w:rPr>
        <w:tab/>
        <w:t>משעה שקרסה גרסתו שהוא זה שרכש את הדירה הראשונה "...</w:t>
      </w:r>
      <w:r>
        <w:rPr>
          <w:rFonts w:ascii="David" w:hAnsi="David"/>
          <w:b/>
          <w:bCs/>
          <w:rtl/>
        </w:rPr>
        <w:t>הרי קורסת כל גרסתו בכתב התביעה כי בגין כספים שהוא שילם לצורך רכישת הדירה הראשונה, העמידה המנוחה לטובתו בארה"ב</w:t>
      </w:r>
      <w:r>
        <w:rPr>
          <w:rFonts w:ascii="David" w:hAnsi="David"/>
          <w:rtl/>
        </w:rPr>
        <w:t xml:space="preserve">". אין בכתב  התביעה מסמך המעיד על כך שהתובע שילם על הדירה הראשונה. </w:t>
      </w:r>
    </w:p>
    <w:p w:rsidR="00E61621" w:rsidRDefault="00E61621" w:rsidP="00E61621">
      <w:pPr>
        <w:spacing w:line="360" w:lineRule="auto"/>
        <w:ind w:left="1440" w:hanging="720"/>
        <w:jc w:val="both"/>
        <w:rPr>
          <w:rFonts w:ascii="David" w:hAnsi="David"/>
          <w:rtl/>
        </w:rPr>
      </w:pPr>
    </w:p>
    <w:p w:rsidR="00E61621" w:rsidRDefault="00E61621" w:rsidP="00E61621">
      <w:pPr>
        <w:spacing w:line="360" w:lineRule="auto"/>
        <w:ind w:left="1440" w:hanging="720"/>
        <w:jc w:val="both"/>
        <w:rPr>
          <w:rFonts w:ascii="David" w:hAnsi="David"/>
          <w:rtl/>
        </w:rPr>
      </w:pPr>
      <w:r>
        <w:rPr>
          <w:rFonts w:ascii="David" w:hAnsi="David"/>
          <w:rtl/>
        </w:rPr>
        <w:t>ו.</w:t>
      </w:r>
      <w:r>
        <w:rPr>
          <w:rFonts w:ascii="David" w:hAnsi="David"/>
          <w:rtl/>
        </w:rPr>
        <w:tab/>
        <w:t xml:space="preserve">ביחס לדירה השנייה טענה הנתבעת שבשנת 2012 התובע משך מחשבונה של הנתבעת בו היה מיופה כוח סכום של 610,000 ₪ שהוא סכום רכישת הדירה השנייה (שעמד על סך 600,000 ₪ ). </w:t>
      </w:r>
    </w:p>
    <w:p w:rsidR="00E61621" w:rsidRDefault="00E61621" w:rsidP="00E61621">
      <w:pPr>
        <w:spacing w:line="360" w:lineRule="auto"/>
        <w:ind w:left="1440" w:hanging="720"/>
        <w:jc w:val="both"/>
        <w:rPr>
          <w:rFonts w:ascii="David" w:hAnsi="David"/>
          <w:rtl/>
        </w:rPr>
      </w:pPr>
    </w:p>
    <w:p w:rsidR="00E61621" w:rsidRDefault="00E61621" w:rsidP="00E61621">
      <w:pPr>
        <w:spacing w:line="360" w:lineRule="auto"/>
        <w:ind w:left="1440" w:hanging="720"/>
        <w:jc w:val="both"/>
        <w:rPr>
          <w:rFonts w:ascii="David" w:hAnsi="David"/>
          <w:rtl/>
        </w:rPr>
      </w:pPr>
      <w:r>
        <w:rPr>
          <w:rFonts w:ascii="David" w:hAnsi="David"/>
          <w:rtl/>
        </w:rPr>
        <w:lastRenderedPageBreak/>
        <w:t>ז.</w:t>
      </w:r>
      <w:r>
        <w:rPr>
          <w:rFonts w:ascii="David" w:hAnsi="David"/>
          <w:rtl/>
        </w:rPr>
        <w:tab/>
        <w:t>לעניין החברה שהוקמה והדירה שנרכשה טענה שהחברה הוקמה שנים קודם לרכישת הדירות באילת והוקמה על כן ללא קשר לרכישת הדירות באילת.  כך, גם הטענה שנפתח חשבון משותף בארה"ב כערובה הנטענת אינה נכונה: המנוחה נהגה בחשבון בארה"ב כפי שנהגה בחשבונותיה בארץ והתובע היה כ"מוטב" בחשבון, הא ותו לא. "</w:t>
      </w:r>
      <w:r>
        <w:rPr>
          <w:rFonts w:ascii="David" w:hAnsi="David"/>
          <w:b/>
          <w:bCs/>
          <w:rtl/>
        </w:rPr>
        <w:t xml:space="preserve">ולבסוף כשהתברר לה כי חרף כל העזרה הרבה שהעניקה לתובע, הוא בחר לנצל את טוב ליבה ולהונות אותה, היא גרעה אותו מהחשבון וסגרה אותו לבסוף". </w:t>
      </w:r>
    </w:p>
    <w:p w:rsidR="00E61621" w:rsidRDefault="00E61621" w:rsidP="00E61621">
      <w:pPr>
        <w:spacing w:line="360" w:lineRule="auto"/>
        <w:ind w:left="1440" w:hanging="720"/>
        <w:jc w:val="both"/>
        <w:rPr>
          <w:rFonts w:ascii="David" w:hAnsi="David"/>
          <w:rtl/>
        </w:rPr>
      </w:pPr>
      <w:r>
        <w:rPr>
          <w:rFonts w:ascii="David" w:hAnsi="David"/>
          <w:rtl/>
        </w:rPr>
        <w:t xml:space="preserve"> </w:t>
      </w:r>
    </w:p>
    <w:p w:rsidR="00E61621" w:rsidRDefault="00E61621" w:rsidP="00E61621">
      <w:pPr>
        <w:spacing w:line="360" w:lineRule="auto"/>
        <w:ind w:left="1440" w:hanging="726"/>
        <w:jc w:val="both"/>
        <w:rPr>
          <w:rFonts w:ascii="David" w:hAnsi="David"/>
          <w:b/>
          <w:bCs/>
          <w:sz w:val="28"/>
          <w:szCs w:val="28"/>
          <w:rtl/>
        </w:rPr>
      </w:pPr>
      <w:r>
        <w:rPr>
          <w:rFonts w:ascii="David" w:hAnsi="David"/>
          <w:b/>
          <w:bCs/>
          <w:sz w:val="28"/>
          <w:szCs w:val="28"/>
          <w:u w:val="double"/>
          <w:rtl/>
        </w:rPr>
        <w:t>בקשה לתיקון כתב התביעה</w:t>
      </w:r>
      <w:r>
        <w:rPr>
          <w:rFonts w:ascii="David" w:hAnsi="David"/>
          <w:b/>
          <w:bCs/>
          <w:sz w:val="28"/>
          <w:szCs w:val="28"/>
          <w:rtl/>
        </w:rPr>
        <w:t>:</w:t>
      </w:r>
    </w:p>
    <w:p w:rsidR="00E61621" w:rsidRDefault="00E61621" w:rsidP="00E61621">
      <w:pPr>
        <w:spacing w:line="360" w:lineRule="auto"/>
        <w:ind w:left="1440" w:hanging="726"/>
        <w:jc w:val="both"/>
        <w:rPr>
          <w:rFonts w:ascii="David" w:hAnsi="David"/>
          <w:b/>
          <w:bCs/>
          <w:sz w:val="28"/>
          <w:szCs w:val="28"/>
        </w:rPr>
      </w:pPr>
    </w:p>
    <w:p w:rsidR="00E61621" w:rsidRDefault="00E61621" w:rsidP="00E61621">
      <w:pPr>
        <w:spacing w:line="360" w:lineRule="auto"/>
        <w:ind w:left="793" w:hanging="709"/>
        <w:jc w:val="both"/>
        <w:rPr>
          <w:rFonts w:ascii="David" w:hAnsi="David"/>
          <w:rtl/>
        </w:rPr>
      </w:pPr>
      <w:r>
        <w:rPr>
          <w:rFonts w:ascii="David" w:hAnsi="David"/>
          <w:rtl/>
        </w:rPr>
        <w:t>15.</w:t>
      </w:r>
      <w:r>
        <w:rPr>
          <w:rFonts w:ascii="David" w:hAnsi="David"/>
          <w:rtl/>
        </w:rPr>
        <w:tab/>
        <w:t>לאחר הגשת כתב ההגנה וביום 2/5/23 הגיש התובע "</w:t>
      </w:r>
      <w:r>
        <w:rPr>
          <w:rFonts w:ascii="David" w:hAnsi="David"/>
          <w:u w:val="single"/>
          <w:rtl/>
        </w:rPr>
        <w:t>בקשה לתיקון כתב תביעה ולחילופין בקשה לפיצול סעדים</w:t>
      </w:r>
      <w:r>
        <w:rPr>
          <w:rFonts w:ascii="David" w:hAnsi="David"/>
          <w:rtl/>
        </w:rPr>
        <w:t>".</w:t>
      </w:r>
    </w:p>
    <w:p w:rsidR="00E61621" w:rsidRDefault="00E61621" w:rsidP="00E61621">
      <w:pPr>
        <w:spacing w:line="360" w:lineRule="auto"/>
        <w:ind w:left="793" w:hanging="709"/>
        <w:jc w:val="both"/>
        <w:rPr>
          <w:rFonts w:ascii="David" w:hAnsi="David"/>
          <w:rtl/>
        </w:rPr>
      </w:pPr>
    </w:p>
    <w:p w:rsidR="00E61621" w:rsidRDefault="00E61621" w:rsidP="00E61621">
      <w:pPr>
        <w:spacing w:line="360" w:lineRule="auto"/>
        <w:ind w:left="793" w:hanging="709"/>
        <w:jc w:val="both"/>
        <w:rPr>
          <w:rFonts w:ascii="David" w:hAnsi="David"/>
          <w:rtl/>
        </w:rPr>
      </w:pPr>
    </w:p>
    <w:p w:rsidR="00E61621" w:rsidRDefault="00E61621" w:rsidP="00E61621">
      <w:pPr>
        <w:spacing w:line="360" w:lineRule="auto"/>
        <w:ind w:left="793" w:hanging="709"/>
        <w:jc w:val="both"/>
        <w:rPr>
          <w:rFonts w:ascii="David" w:hAnsi="David"/>
          <w:b/>
          <w:bCs/>
          <w:rtl/>
        </w:rPr>
      </w:pPr>
      <w:r>
        <w:rPr>
          <w:rFonts w:ascii="David" w:hAnsi="David"/>
          <w:rtl/>
        </w:rPr>
        <w:tab/>
      </w:r>
      <w:r>
        <w:rPr>
          <w:rFonts w:ascii="David" w:hAnsi="David"/>
          <w:b/>
          <w:bCs/>
          <w:u w:val="single"/>
          <w:rtl/>
        </w:rPr>
        <w:t>עיקר טענות המבקש (התובע) בבקשה לתיקון כתב התביעה</w:t>
      </w:r>
      <w:r>
        <w:rPr>
          <w:rFonts w:ascii="David" w:hAnsi="David"/>
          <w:b/>
          <w:bCs/>
          <w:rtl/>
        </w:rPr>
        <w:t>:</w:t>
      </w:r>
    </w:p>
    <w:p w:rsidR="00E61621" w:rsidRDefault="00E61621" w:rsidP="00E61621">
      <w:pPr>
        <w:spacing w:line="360" w:lineRule="auto"/>
        <w:ind w:left="793" w:hanging="709"/>
        <w:jc w:val="both"/>
        <w:rPr>
          <w:rFonts w:ascii="David" w:hAnsi="David"/>
          <w:b/>
          <w:bCs/>
          <w:rtl/>
        </w:rPr>
      </w:pPr>
    </w:p>
    <w:p w:rsidR="00E61621" w:rsidRDefault="00E61621" w:rsidP="00E61621">
      <w:pPr>
        <w:spacing w:line="360" w:lineRule="auto"/>
        <w:ind w:left="793" w:hanging="709"/>
        <w:jc w:val="both"/>
        <w:rPr>
          <w:rFonts w:ascii="David" w:hAnsi="David"/>
          <w:rtl/>
        </w:rPr>
      </w:pPr>
      <w:r>
        <w:rPr>
          <w:rFonts w:ascii="David" w:hAnsi="David"/>
          <w:rtl/>
        </w:rPr>
        <w:t>16.</w:t>
      </w:r>
      <w:r>
        <w:rPr>
          <w:rFonts w:ascii="David" w:hAnsi="David"/>
          <w:rtl/>
        </w:rPr>
        <w:tab/>
        <w:t>בבקשתו שב התובע על טיעוניו ולאחר שהתייחס לטענות ההגנה של הנתבעת ביקש לאפשר לו לתקן את כתב תביעתו "...</w:t>
      </w:r>
      <w:r>
        <w:rPr>
          <w:rFonts w:ascii="David" w:hAnsi="David"/>
          <w:b/>
          <w:bCs/>
          <w:rtl/>
        </w:rPr>
        <w:t xml:space="preserve">באמצעות צירוף בתו כתובעת נוספת, ושינוי </w:t>
      </w:r>
      <w:r>
        <w:rPr>
          <w:rFonts w:ascii="David" w:hAnsi="David"/>
          <w:rtl/>
        </w:rPr>
        <w:t>(השוו עם ס' 38 לבקשה לתיקון כתב התביעה שם ביקש לתקן את הסעד המבוקש לסעד כספי- מ.ל)</w:t>
      </w:r>
      <w:r>
        <w:rPr>
          <w:rFonts w:ascii="David" w:hAnsi="David"/>
          <w:b/>
          <w:bCs/>
          <w:rtl/>
        </w:rPr>
        <w:t xml:space="preserve"> הסעד המבוקש לסעד כספי בשווי יתרת כספי חשבון הבנק בפלורידה ובשווי הבעלות בחברה עוד בטרם מעשה ההונאה בגינו הועברה השליטה בחברה לנתבעת. </w:t>
      </w:r>
      <w:r>
        <w:rPr>
          <w:rFonts w:ascii="David" w:hAnsi="David"/>
          <w:rtl/>
        </w:rPr>
        <w:t xml:space="preserve">... </w:t>
      </w:r>
      <w:r>
        <w:rPr>
          <w:rFonts w:ascii="David" w:hAnsi="David"/>
          <w:b/>
          <w:bCs/>
          <w:rtl/>
        </w:rPr>
        <w:t>יובהר כי בין כתב התביעה המתוקן שיוגש לכתב התביעה המקורי שהוגש, ברי כי המסכת העובדתית המולידה את הזכות לסעד הכספי המבוקש במסגרת התיקון עומדת ביסוד שתי העילות- הן "החדשה" והן "המקורית". משמע, התיקון המבוקש כעת נשען על אותה מסכת עובדתית ומתבסס, בעיקרו, על הנסיבות והסיבות המצביעות על בעלות התובע בנכסי המקרקעין בישראל</w:t>
      </w:r>
      <w:r>
        <w:rPr>
          <w:rFonts w:ascii="David" w:hAnsi="David"/>
          <w:rtl/>
        </w:rPr>
        <w:t xml:space="preserve">". </w:t>
      </w:r>
    </w:p>
    <w:p w:rsidR="00E61621" w:rsidRDefault="00E61621" w:rsidP="00E61621">
      <w:pPr>
        <w:spacing w:line="360" w:lineRule="auto"/>
        <w:ind w:left="793" w:hanging="709"/>
        <w:jc w:val="both"/>
        <w:rPr>
          <w:rFonts w:ascii="David" w:hAnsi="David"/>
          <w:rtl/>
        </w:rPr>
      </w:pPr>
    </w:p>
    <w:p w:rsidR="00E61621" w:rsidRDefault="00E61621" w:rsidP="00E61621">
      <w:pPr>
        <w:spacing w:line="360" w:lineRule="auto"/>
        <w:ind w:left="793" w:hanging="709"/>
        <w:jc w:val="both"/>
        <w:rPr>
          <w:rFonts w:ascii="David" w:hAnsi="David"/>
          <w:rtl/>
        </w:rPr>
      </w:pPr>
      <w:r>
        <w:rPr>
          <w:rFonts w:ascii="David" w:hAnsi="David"/>
          <w:rtl/>
        </w:rPr>
        <w:t>17.</w:t>
      </w:r>
      <w:r>
        <w:rPr>
          <w:rFonts w:ascii="David" w:hAnsi="David"/>
          <w:rtl/>
        </w:rPr>
        <w:tab/>
        <w:t>לחלופין עתר התובע ככל שלא יותר לו לתקן את כתב התביעה שהוגש להתיר לו "...</w:t>
      </w:r>
      <w:r>
        <w:rPr>
          <w:rFonts w:ascii="David" w:hAnsi="David"/>
          <w:b/>
          <w:bCs/>
          <w:rtl/>
        </w:rPr>
        <w:t>פיצול סעדים לצורך הגשת תביעה כספית נגד העיזבון ו/או הנתבעת בתחומי מדינת פלורידה, במקביל לניהול ההליכים בישראל תוך השהיית ההליכים בישראל עד למתן פסק הדין בפלורידה מהנימוקים כדלקמן:</w:t>
      </w:r>
    </w:p>
    <w:p w:rsidR="00E61621" w:rsidRDefault="00E61621" w:rsidP="00E61621">
      <w:pPr>
        <w:spacing w:line="360" w:lineRule="auto"/>
        <w:ind w:left="793" w:hanging="709"/>
        <w:jc w:val="both"/>
        <w:rPr>
          <w:rFonts w:ascii="David" w:hAnsi="David"/>
          <w:rtl/>
        </w:rPr>
      </w:pPr>
    </w:p>
    <w:p w:rsidR="00E61621" w:rsidRDefault="00E61621" w:rsidP="00E61621">
      <w:pPr>
        <w:pStyle w:val="Ruller4"/>
        <w:tabs>
          <w:tab w:val="left" w:pos="-3318"/>
        </w:tabs>
        <w:ind w:left="720"/>
        <w:rPr>
          <w:rFonts w:ascii="David" w:eastAsiaTheme="minorHAnsi" w:hAnsi="David" w:cs="David"/>
          <w:b/>
          <w:bCs/>
          <w:spacing w:val="0"/>
          <w:kern w:val="0"/>
          <w:sz w:val="24"/>
          <w:szCs w:val="24"/>
          <w14:ligatures w14:val="none"/>
        </w:rPr>
      </w:pPr>
      <w:r>
        <w:rPr>
          <w:rFonts w:ascii="David" w:eastAsiaTheme="minorHAnsi" w:hAnsi="David" w:cs="David"/>
          <w:b/>
          <w:bCs/>
          <w:spacing w:val="0"/>
          <w:kern w:val="0"/>
          <w:sz w:val="24"/>
          <w:szCs w:val="24"/>
          <w:rtl/>
          <w14:ligatures w14:val="none"/>
        </w:rPr>
        <w:t>הכרעה בדבר מעשי ההונאה שבוצעו כאמור, תהווה משקל ראייתי משמעותי לטענות התובע, לפיהן- הנכסים בפלורידה היו בבעלות התובע ושימשו כערובה למימוש התחייבות המנוחה להעברת רישום נכסי המקרקעין בישראל על שמו של התובע.</w:t>
      </w:r>
    </w:p>
    <w:p w:rsidR="00E61621" w:rsidRDefault="00E61621" w:rsidP="00E61621">
      <w:pPr>
        <w:pStyle w:val="Ruller4"/>
        <w:tabs>
          <w:tab w:val="left" w:pos="-3318"/>
        </w:tabs>
        <w:rPr>
          <w:rFonts w:ascii="David" w:eastAsiaTheme="minorHAnsi" w:hAnsi="David" w:cs="David"/>
          <w:b/>
          <w:bCs/>
          <w:spacing w:val="0"/>
          <w:kern w:val="0"/>
          <w:sz w:val="24"/>
          <w:szCs w:val="24"/>
          <w:rtl/>
          <w14:ligatures w14:val="none"/>
        </w:rPr>
      </w:pPr>
    </w:p>
    <w:p w:rsidR="00E61621" w:rsidRDefault="00E61621" w:rsidP="00E61621">
      <w:pPr>
        <w:pStyle w:val="Ruller4"/>
        <w:tabs>
          <w:tab w:val="left" w:pos="-3318"/>
        </w:tabs>
        <w:ind w:left="720"/>
        <w:rPr>
          <w:rFonts w:ascii="David" w:eastAsiaTheme="minorHAnsi" w:hAnsi="David" w:cs="David"/>
          <w:b/>
          <w:bCs/>
          <w:spacing w:val="0"/>
          <w:kern w:val="0"/>
          <w:sz w:val="24"/>
          <w:szCs w:val="24"/>
          <w:rtl/>
          <w14:ligatures w14:val="none"/>
        </w:rPr>
      </w:pPr>
      <w:r>
        <w:rPr>
          <w:rFonts w:ascii="David" w:eastAsiaTheme="minorHAnsi" w:hAnsi="David" w:cs="David"/>
          <w:b/>
          <w:bCs/>
          <w:spacing w:val="0"/>
          <w:kern w:val="0"/>
          <w:sz w:val="24"/>
          <w:szCs w:val="24"/>
          <w:rtl/>
          <w14:ligatures w14:val="none"/>
        </w:rPr>
        <w:t>לצורך כך, ובשים לב בפרט לטענות הנתבעת בכתב ההגנה בדבר מהות הנכסים בפלורידה ברי כי יש לדון תחילה במחלוקת העובדתית בדבר שאלת מהות הנכסים בפלורידה וזהות הבעלים בנכסים אלה.</w:t>
      </w:r>
    </w:p>
    <w:p w:rsidR="00E61621" w:rsidRDefault="00E61621" w:rsidP="00E61621">
      <w:pPr>
        <w:pStyle w:val="Ruller4"/>
        <w:tabs>
          <w:tab w:val="left" w:pos="-3318"/>
        </w:tabs>
        <w:rPr>
          <w:rFonts w:ascii="David" w:eastAsiaTheme="minorHAnsi" w:hAnsi="David" w:cs="David"/>
          <w:b/>
          <w:bCs/>
          <w:spacing w:val="0"/>
          <w:kern w:val="0"/>
          <w:sz w:val="24"/>
          <w:szCs w:val="24"/>
          <w:rtl/>
          <w14:ligatures w14:val="none"/>
        </w:rPr>
      </w:pPr>
    </w:p>
    <w:p w:rsidR="00E61621" w:rsidRDefault="00E61621" w:rsidP="00E61621">
      <w:pPr>
        <w:pStyle w:val="Ruller4"/>
        <w:tabs>
          <w:tab w:val="left" w:pos="-3318"/>
        </w:tabs>
        <w:ind w:left="720"/>
        <w:rPr>
          <w:rFonts w:ascii="David" w:eastAsiaTheme="minorHAnsi" w:hAnsi="David" w:cs="David"/>
          <w:b/>
          <w:bCs/>
          <w:spacing w:val="0"/>
          <w:kern w:val="0"/>
          <w:sz w:val="24"/>
          <w:szCs w:val="24"/>
          <w:rtl/>
          <w14:ligatures w14:val="none"/>
        </w:rPr>
      </w:pPr>
      <w:r>
        <w:rPr>
          <w:rFonts w:ascii="David" w:eastAsiaTheme="minorHAnsi" w:hAnsi="David" w:cs="David"/>
          <w:b/>
          <w:bCs/>
          <w:spacing w:val="0"/>
          <w:kern w:val="0"/>
          <w:sz w:val="24"/>
          <w:szCs w:val="24"/>
          <w:rtl/>
          <w14:ligatures w14:val="none"/>
        </w:rPr>
        <w:t>זאת ועוד, היעדר נכסים בפלורידה בבעלות העיזבון ו/או הנתבעת וממילא היעדר אפשרות חוקית עפ"י הדין בפלורידה להטיל עיקול זמני על נכסי הנתבעת במהלך ניהול התביעה</w:t>
      </w:r>
      <w:r>
        <w:rPr>
          <w:rFonts w:ascii="David" w:eastAsiaTheme="minorHAnsi" w:hAnsi="David" w:cs="David"/>
          <w:spacing w:val="0"/>
          <w:kern w:val="0"/>
          <w:sz w:val="24"/>
          <w:szCs w:val="24"/>
          <w:rtl/>
          <w14:ligatures w14:val="none"/>
        </w:rPr>
        <w:t xml:space="preserve"> </w:t>
      </w:r>
      <w:r>
        <w:rPr>
          <w:rFonts w:ascii="David" w:eastAsiaTheme="minorHAnsi" w:hAnsi="David" w:cs="David"/>
          <w:b/>
          <w:bCs/>
          <w:spacing w:val="0"/>
          <w:kern w:val="0"/>
          <w:sz w:val="24"/>
          <w:szCs w:val="24"/>
          <w:rtl/>
          <w14:ligatures w14:val="none"/>
        </w:rPr>
        <w:t xml:space="preserve">כספית שם- עלול להביא למצב בו גם אם יתקבל פסק דין כספי לחיוב עיזבון והנתבעת בפלורידה- שאז לא יהיו נכסים בפלורידה מהם יוכל התובע להיפרע </w:t>
      </w:r>
    </w:p>
    <w:p w:rsidR="00E61621" w:rsidRDefault="00E61621" w:rsidP="00E61621">
      <w:pPr>
        <w:pStyle w:val="Ruller4"/>
        <w:tabs>
          <w:tab w:val="left" w:pos="-3318"/>
        </w:tabs>
        <w:rPr>
          <w:rFonts w:ascii="David" w:eastAsiaTheme="minorHAnsi" w:hAnsi="David" w:cs="David"/>
          <w:b/>
          <w:bCs/>
          <w:spacing w:val="0"/>
          <w:kern w:val="0"/>
          <w:sz w:val="24"/>
          <w:szCs w:val="24"/>
          <w:rtl/>
          <w14:ligatures w14:val="none"/>
        </w:rPr>
      </w:pPr>
    </w:p>
    <w:p w:rsidR="00E61621" w:rsidRDefault="00E61621" w:rsidP="00E61621">
      <w:pPr>
        <w:pStyle w:val="Ruller4"/>
        <w:tabs>
          <w:tab w:val="left" w:pos="-3318"/>
        </w:tabs>
        <w:ind w:left="720"/>
        <w:rPr>
          <w:rFonts w:ascii="David" w:eastAsiaTheme="minorHAnsi" w:hAnsi="David" w:cs="David"/>
          <w:spacing w:val="0"/>
          <w:kern w:val="0"/>
          <w:sz w:val="24"/>
          <w:szCs w:val="24"/>
          <w:rtl/>
          <w14:ligatures w14:val="none"/>
        </w:rPr>
      </w:pPr>
      <w:r>
        <w:rPr>
          <w:rFonts w:ascii="David" w:eastAsiaTheme="minorHAnsi" w:hAnsi="David" w:cs="David"/>
          <w:b/>
          <w:bCs/>
          <w:spacing w:val="0"/>
          <w:kern w:val="0"/>
          <w:sz w:val="24"/>
          <w:szCs w:val="24"/>
          <w:rtl/>
          <w14:ligatures w14:val="none"/>
        </w:rPr>
        <w:t xml:space="preserve">כך ככל שתידחה בקשת התובע לתיקון את כתב התביעה בישראל- </w:t>
      </w:r>
      <w:proofErr w:type="spellStart"/>
      <w:r>
        <w:rPr>
          <w:rFonts w:ascii="David" w:eastAsiaTheme="minorHAnsi" w:hAnsi="David" w:cs="David"/>
          <w:b/>
          <w:bCs/>
          <w:spacing w:val="0"/>
          <w:kern w:val="0"/>
          <w:sz w:val="24"/>
          <w:szCs w:val="24"/>
          <w:rtl/>
          <w14:ligatures w14:val="none"/>
        </w:rPr>
        <w:t>יווצר</w:t>
      </w:r>
      <w:proofErr w:type="spellEnd"/>
      <w:r>
        <w:rPr>
          <w:rFonts w:ascii="David" w:eastAsiaTheme="minorHAnsi" w:hAnsi="David" w:cs="David"/>
          <w:b/>
          <w:bCs/>
          <w:spacing w:val="0"/>
          <w:kern w:val="0"/>
          <w:sz w:val="24"/>
          <w:szCs w:val="24"/>
          <w:rtl/>
          <w14:ligatures w14:val="none"/>
        </w:rPr>
        <w:t xml:space="preserve"> מצב בו לתובע עילת תביעה כספית נגד העיזבון ו/או המנוחה בסמכות מדינת פלורידה, אך כלל נכסי העיזבון והנתבעת למימוש פסק דין כספי שיינתן בפלורידה לחובת הנתבעת ו/או העיזבון נמצאים רק בישראל .</w:t>
      </w:r>
    </w:p>
    <w:p w:rsidR="00E61621" w:rsidRDefault="00E61621" w:rsidP="00E61621">
      <w:pPr>
        <w:pStyle w:val="Ruller4"/>
        <w:tabs>
          <w:tab w:val="left" w:pos="-3318"/>
        </w:tabs>
        <w:rPr>
          <w:rFonts w:ascii="David" w:eastAsiaTheme="minorHAnsi" w:hAnsi="David" w:cs="David"/>
          <w:spacing w:val="0"/>
          <w:kern w:val="0"/>
          <w:sz w:val="24"/>
          <w:szCs w:val="24"/>
          <w:rtl/>
          <w14:ligatures w14:val="none"/>
        </w:rPr>
      </w:pPr>
    </w:p>
    <w:p w:rsidR="00E61621" w:rsidRDefault="00E61621" w:rsidP="00E61621">
      <w:pPr>
        <w:pStyle w:val="Ruller4"/>
        <w:tabs>
          <w:tab w:val="left" w:pos="-3318"/>
        </w:tabs>
        <w:ind w:left="720"/>
        <w:rPr>
          <w:rFonts w:ascii="David" w:hAnsi="David" w:cs="David"/>
          <w:sz w:val="24"/>
          <w:szCs w:val="24"/>
          <w:rtl/>
        </w:rPr>
      </w:pPr>
      <w:r>
        <w:rPr>
          <w:rFonts w:ascii="David" w:eastAsiaTheme="minorHAnsi" w:hAnsi="David" w:cs="David"/>
          <w:b/>
          <w:bCs/>
          <w:spacing w:val="0"/>
          <w:kern w:val="0"/>
          <w:sz w:val="24"/>
          <w:szCs w:val="24"/>
          <w:rtl/>
          <w14:ligatures w14:val="none"/>
        </w:rPr>
        <w:t>וככל שחלילה תידחה התביעה בישראל בטרם מתן פסק דין בפלורידה - הרי שקיים חשש ממשי (בייחוד ובפרט נוכח מעשה ההונאה שכבר ביצעה בעבר) כי הנתבעת תפעל להברחת הנכסים הרשומים על שמה בישראל בטרם מתן פסק הדין בפלורידה</w:t>
      </w:r>
      <w:r>
        <w:rPr>
          <w:rFonts w:ascii="David" w:eastAsiaTheme="minorHAnsi" w:hAnsi="David" w:cs="David"/>
          <w:spacing w:val="0"/>
          <w:kern w:val="0"/>
          <w:sz w:val="24"/>
          <w:szCs w:val="24"/>
          <w:rtl/>
          <w14:ligatures w14:val="none"/>
        </w:rPr>
        <w:t>."</w:t>
      </w:r>
    </w:p>
    <w:p w:rsidR="00E61621" w:rsidRDefault="00E61621" w:rsidP="00E61621">
      <w:pPr>
        <w:pStyle w:val="Ruller4"/>
        <w:tabs>
          <w:tab w:val="left" w:pos="-3318"/>
        </w:tabs>
        <w:ind w:left="720"/>
        <w:rPr>
          <w:rFonts w:ascii="David" w:hAnsi="David" w:cs="David"/>
          <w:sz w:val="24"/>
          <w:szCs w:val="24"/>
          <w:rtl/>
        </w:rPr>
      </w:pPr>
    </w:p>
    <w:p w:rsidR="00E61621" w:rsidRDefault="00E61621" w:rsidP="00E61621">
      <w:pPr>
        <w:spacing w:line="360" w:lineRule="auto"/>
        <w:ind w:left="793" w:hanging="709"/>
        <w:jc w:val="both"/>
        <w:rPr>
          <w:rFonts w:ascii="David" w:hAnsi="David"/>
          <w:rtl/>
        </w:rPr>
      </w:pPr>
      <w:r>
        <w:rPr>
          <w:rFonts w:ascii="David" w:hAnsi="David"/>
          <w:rtl/>
        </w:rPr>
        <w:t>18.</w:t>
      </w:r>
      <w:r>
        <w:rPr>
          <w:rFonts w:ascii="David" w:hAnsi="David"/>
          <w:rtl/>
        </w:rPr>
        <w:tab/>
        <w:t>לבקשתו צירף התובע 'חוו"ד של מומחה לדין הזר' ביחס לחברה וכן 'חו"ד של גרפולוג'.</w:t>
      </w:r>
    </w:p>
    <w:p w:rsidR="00E61621" w:rsidRDefault="00E61621" w:rsidP="00E61621">
      <w:pPr>
        <w:spacing w:line="360" w:lineRule="auto"/>
        <w:ind w:left="793" w:hanging="709"/>
        <w:jc w:val="both"/>
        <w:rPr>
          <w:rFonts w:ascii="David" w:hAnsi="David"/>
          <w:rtl/>
        </w:rPr>
      </w:pPr>
      <w:r>
        <w:rPr>
          <w:rFonts w:ascii="David" w:hAnsi="David"/>
          <w:rtl/>
        </w:rPr>
        <w:t xml:space="preserve">  </w:t>
      </w:r>
    </w:p>
    <w:p w:rsidR="00E61621" w:rsidRDefault="00E61621" w:rsidP="00E61621">
      <w:pPr>
        <w:spacing w:line="360" w:lineRule="auto"/>
        <w:ind w:left="793" w:hanging="709"/>
        <w:jc w:val="both"/>
        <w:rPr>
          <w:rFonts w:ascii="David" w:hAnsi="David"/>
          <w:b/>
          <w:bCs/>
          <w:rtl/>
        </w:rPr>
      </w:pPr>
      <w:r>
        <w:rPr>
          <w:rFonts w:ascii="David" w:hAnsi="David"/>
          <w:rtl/>
        </w:rPr>
        <w:tab/>
      </w:r>
      <w:r>
        <w:rPr>
          <w:rFonts w:ascii="David" w:hAnsi="David"/>
          <w:b/>
          <w:bCs/>
          <w:u w:val="single"/>
          <w:rtl/>
        </w:rPr>
        <w:t>עיקר טענות המשיבה (הנתבעת) בתגובתה לבקשה לתיקון כתב התביעה</w:t>
      </w:r>
      <w:r>
        <w:rPr>
          <w:rFonts w:ascii="David" w:hAnsi="David"/>
          <w:b/>
          <w:bCs/>
          <w:rtl/>
        </w:rPr>
        <w:t xml:space="preserve">: </w:t>
      </w:r>
    </w:p>
    <w:p w:rsidR="00E61621" w:rsidRDefault="00E61621" w:rsidP="00E61621">
      <w:pPr>
        <w:spacing w:line="360" w:lineRule="auto"/>
        <w:ind w:left="793" w:hanging="709"/>
        <w:jc w:val="both"/>
        <w:rPr>
          <w:rFonts w:ascii="David" w:hAnsi="David"/>
          <w:b/>
          <w:bCs/>
          <w:rtl/>
        </w:rPr>
      </w:pPr>
    </w:p>
    <w:p w:rsidR="00E61621" w:rsidRDefault="00E61621" w:rsidP="00E61621">
      <w:pPr>
        <w:pStyle w:val="Ruller4"/>
        <w:ind w:left="793" w:hanging="793"/>
        <w:rPr>
          <w:rFonts w:ascii="David" w:eastAsiaTheme="minorHAnsi" w:hAnsi="David" w:cs="David"/>
          <w:spacing w:val="0"/>
          <w:kern w:val="0"/>
          <w:sz w:val="24"/>
          <w:szCs w:val="24"/>
          <w:rtl/>
          <w14:ligatures w14:val="none"/>
        </w:rPr>
      </w:pPr>
      <w:r>
        <w:rPr>
          <w:rFonts w:ascii="David" w:hAnsi="David" w:cs="David"/>
          <w:sz w:val="24"/>
          <w:szCs w:val="24"/>
          <w:rtl/>
        </w:rPr>
        <w:t>19.</w:t>
      </w:r>
      <w:r>
        <w:rPr>
          <w:rFonts w:ascii="David" w:hAnsi="David" w:cs="David"/>
          <w:sz w:val="24"/>
          <w:szCs w:val="24"/>
          <w:rtl/>
        </w:rPr>
        <w:tab/>
      </w:r>
      <w:r>
        <w:rPr>
          <w:rFonts w:ascii="David" w:hAnsi="David" w:cs="David"/>
          <w:sz w:val="24"/>
          <w:szCs w:val="24"/>
          <w:rtl/>
        </w:rPr>
        <w:tab/>
        <w:t>דין הבקשה להידחות על הסף. "...</w:t>
      </w:r>
      <w:r>
        <w:rPr>
          <w:rFonts w:ascii="David" w:eastAsiaTheme="minorHAnsi" w:hAnsi="David" w:cs="David"/>
          <w:b/>
          <w:bCs/>
          <w:spacing w:val="0"/>
          <w:kern w:val="0"/>
          <w:sz w:val="24"/>
          <w:szCs w:val="24"/>
          <w:rtl/>
          <w14:ligatures w14:val="none"/>
        </w:rPr>
        <w:t>אין מדובר בתיקון כתב תביעה, אלא בכתב תביעה אחר, חדש עם סעד אחר לגמרי, עם בעלי דין אחרים וביחס לחברה שהוקמה, פעלה ומצויה בארה"ב. מה בין זה ובין התביעה הנוכחית והיא להצהיר על בעלות בנכסים באילת הרשומים ע"ש המנוחה? ...למעשה מבקש המבקש להגיש תביעה אחרת, מופרכת עוד יותר והפעם ביחס לנכס אחר בכלל ושהוא אינו בתחום סמכותה של מדינת ישראל. נכס שבכתב התביעה שהגיש טען שהוא בכלל אינו בבעלותו, אלא ניתן לו כבטוחה וערובה בגין הדירות באילת. טענה מוכחשת וחסרת הגיון, שהרי מדוע יש לתת למבקש נכסים כערובה לנכסים אחרים שלטענתו שייכים לו ולא נרשמו על שמו? איך זה מגן על מי שלטענתו לא רצה שיהיו על שמו נכסים? ומדוע צריך לתן נכסים כבטחון מקום שיכלו המבקש והמנוחה (אילו היה אמת בטענות המופרכות של המבקש) פשוט לערוך מסמך נאמנות הקובע כי הדירות באילת שייכות למבקש ומוחזקות בנאמנות על ידי המנוחה.</w:t>
      </w:r>
      <w:r>
        <w:rPr>
          <w:rFonts w:ascii="David" w:eastAsiaTheme="minorHAnsi" w:hAnsi="David" w:cs="David"/>
          <w:spacing w:val="0"/>
          <w:kern w:val="0"/>
          <w:sz w:val="24"/>
          <w:szCs w:val="24"/>
          <w:rtl/>
          <w14:ligatures w14:val="none"/>
        </w:rPr>
        <w:t>"</w:t>
      </w:r>
    </w:p>
    <w:p w:rsidR="00E61621" w:rsidRDefault="00E61621" w:rsidP="00E61621">
      <w:pPr>
        <w:pStyle w:val="Ruller4"/>
        <w:ind w:left="793" w:hanging="793"/>
        <w:rPr>
          <w:rFonts w:ascii="David" w:eastAsiaTheme="minorHAnsi" w:hAnsi="David" w:cs="David"/>
          <w:spacing w:val="0"/>
          <w:kern w:val="0"/>
          <w:sz w:val="24"/>
          <w:szCs w:val="24"/>
          <w:rtl/>
          <w14:ligatures w14:val="none"/>
        </w:rPr>
      </w:pPr>
    </w:p>
    <w:p w:rsidR="00E61621" w:rsidRDefault="00E61621" w:rsidP="00E61621">
      <w:pPr>
        <w:pStyle w:val="Ruller4"/>
        <w:ind w:left="793"/>
        <w:rPr>
          <w:rFonts w:ascii="David" w:eastAsiaTheme="minorHAnsi" w:hAnsi="David" w:cs="David"/>
          <w:b/>
          <w:bCs/>
          <w:spacing w:val="0"/>
          <w:kern w:val="0"/>
          <w:sz w:val="24"/>
          <w:szCs w:val="24"/>
          <w:rtl/>
          <w14:ligatures w14:val="none"/>
        </w:rPr>
      </w:pPr>
      <w:r>
        <w:rPr>
          <w:rFonts w:ascii="David" w:eastAsiaTheme="minorHAnsi" w:hAnsi="David" w:cs="David"/>
          <w:spacing w:val="0"/>
          <w:kern w:val="0"/>
          <w:sz w:val="24"/>
          <w:szCs w:val="24"/>
          <w:rtl/>
          <w14:ligatures w14:val="none"/>
        </w:rPr>
        <w:tab/>
        <w:t>המשיבה טענה שבפועל בקשת המבקש היא להגיש תביעה חדשה ולא בבקשה לתיקון כתב התביעה שבפני בית המשפט. "...</w:t>
      </w:r>
      <w:r>
        <w:rPr>
          <w:rFonts w:ascii="David" w:eastAsiaTheme="minorHAnsi" w:hAnsi="David" w:cs="David"/>
          <w:b/>
          <w:bCs/>
          <w:spacing w:val="0"/>
          <w:kern w:val="0"/>
          <w:sz w:val="24"/>
          <w:szCs w:val="24"/>
          <w:rtl/>
          <w14:ligatures w14:val="none"/>
        </w:rPr>
        <w:t xml:space="preserve">לאחר שהמשיבה הוכיחה בכתב הגנתה כי המנוחה היא זו שמימנה את הדירות בישראל שנרשמו על שמה (ולכך לא התייחס המבקש בבקשתו ולא בכדי)" </w:t>
      </w:r>
      <w:r>
        <w:rPr>
          <w:rFonts w:ascii="David" w:eastAsiaTheme="minorHAnsi" w:hAnsi="David" w:cs="David"/>
          <w:spacing w:val="0"/>
          <w:kern w:val="0"/>
          <w:sz w:val="24"/>
          <w:szCs w:val="24"/>
          <w:rtl/>
          <w14:ligatures w14:val="none"/>
        </w:rPr>
        <w:t xml:space="preserve"> לאור זאת תהתה המשיבה "...</w:t>
      </w:r>
      <w:r>
        <w:rPr>
          <w:rFonts w:ascii="David" w:eastAsiaTheme="minorHAnsi" w:hAnsi="David" w:cs="David"/>
          <w:b/>
          <w:bCs/>
          <w:spacing w:val="0"/>
          <w:kern w:val="0"/>
          <w:sz w:val="24"/>
          <w:szCs w:val="24"/>
          <w:rtl/>
          <w14:ligatures w14:val="none"/>
        </w:rPr>
        <w:t xml:space="preserve"> מה רלוונטיים הנכסים בארה"ב והבעלות בהם. ובשים לב לכך שגם המבקש לא טוען כי הוא היה הבעלים </w:t>
      </w:r>
      <w:proofErr w:type="spellStart"/>
      <w:r>
        <w:rPr>
          <w:rFonts w:ascii="David" w:eastAsiaTheme="minorHAnsi" w:hAnsi="David" w:cs="David"/>
          <w:b/>
          <w:bCs/>
          <w:spacing w:val="0"/>
          <w:kern w:val="0"/>
          <w:sz w:val="24"/>
          <w:szCs w:val="24"/>
          <w:rtl/>
          <w14:ligatures w14:val="none"/>
        </w:rPr>
        <w:t>האמיתי</w:t>
      </w:r>
      <w:proofErr w:type="spellEnd"/>
      <w:r>
        <w:rPr>
          <w:rFonts w:ascii="David" w:eastAsiaTheme="minorHAnsi" w:hAnsi="David" w:cs="David"/>
          <w:b/>
          <w:bCs/>
          <w:spacing w:val="0"/>
          <w:kern w:val="0"/>
          <w:sz w:val="24"/>
          <w:szCs w:val="24"/>
          <w:rtl/>
          <w14:ligatures w14:val="none"/>
        </w:rPr>
        <w:t xml:space="preserve"> של הנכסים בארה"ב, אלא כי הם ניתנו לו רק כערובה לנכסים בישראל."</w:t>
      </w:r>
    </w:p>
    <w:p w:rsidR="00E61621" w:rsidRDefault="00E61621" w:rsidP="00E61621">
      <w:pPr>
        <w:pStyle w:val="Ruller4"/>
        <w:ind w:left="793" w:hanging="793"/>
        <w:rPr>
          <w:rFonts w:ascii="David" w:eastAsiaTheme="minorHAnsi" w:hAnsi="David" w:cs="David"/>
          <w:spacing w:val="0"/>
          <w:kern w:val="0"/>
          <w:sz w:val="24"/>
          <w:szCs w:val="24"/>
          <w14:ligatures w14:val="none"/>
        </w:rPr>
      </w:pPr>
    </w:p>
    <w:p w:rsidR="00E61621" w:rsidRDefault="00E61621" w:rsidP="00E61621">
      <w:pPr>
        <w:pStyle w:val="Ruller4"/>
        <w:ind w:left="720" w:hanging="720"/>
        <w:rPr>
          <w:rFonts w:ascii="David" w:eastAsiaTheme="minorHAnsi" w:hAnsi="David" w:cs="David"/>
          <w:spacing w:val="0"/>
          <w:kern w:val="0"/>
          <w:sz w:val="24"/>
          <w:szCs w:val="24"/>
          <w14:ligatures w14:val="none"/>
        </w:rPr>
      </w:pPr>
      <w:r>
        <w:rPr>
          <w:rFonts w:ascii="David" w:hAnsi="David" w:cs="David"/>
          <w:sz w:val="24"/>
          <w:szCs w:val="24"/>
          <w:rtl/>
        </w:rPr>
        <w:lastRenderedPageBreak/>
        <w:t>20.</w:t>
      </w:r>
      <w:r>
        <w:rPr>
          <w:rFonts w:ascii="David" w:hAnsi="David" w:cs="David"/>
          <w:b/>
          <w:bCs/>
          <w:sz w:val="24"/>
          <w:szCs w:val="24"/>
          <w:rtl/>
        </w:rPr>
        <w:tab/>
      </w:r>
      <w:r>
        <w:rPr>
          <w:rFonts w:ascii="David" w:eastAsiaTheme="minorHAnsi" w:hAnsi="David" w:cs="David"/>
          <w:spacing w:val="0"/>
          <w:kern w:val="0"/>
          <w:sz w:val="24"/>
          <w:szCs w:val="24"/>
          <w:rtl/>
          <w14:ligatures w14:val="none"/>
        </w:rPr>
        <w:t xml:space="preserve">משעה שהמבקש טוען שתחילה יש לדון בבעלות בנכסים בפלורידה (ס' 34 לבקשה) ברור שיש להורות על מחיקת התביעה וחיובו של המבקש בהוצאות. </w:t>
      </w:r>
    </w:p>
    <w:p w:rsidR="00E61621" w:rsidRDefault="00E61621" w:rsidP="00E61621">
      <w:pPr>
        <w:pStyle w:val="Ruller4"/>
        <w:ind w:left="720" w:hanging="720"/>
        <w:rPr>
          <w:rFonts w:ascii="David" w:eastAsiaTheme="minorHAnsi" w:hAnsi="David" w:cs="David"/>
          <w:spacing w:val="0"/>
          <w:kern w:val="0"/>
          <w:sz w:val="24"/>
          <w:szCs w:val="24"/>
          <w:rtl/>
          <w14:ligatures w14:val="none"/>
        </w:rPr>
      </w:pPr>
    </w:p>
    <w:p w:rsidR="00E61621" w:rsidRDefault="00E61621" w:rsidP="00E61621">
      <w:pPr>
        <w:pStyle w:val="Ruller4"/>
        <w:tabs>
          <w:tab w:val="left" w:pos="720"/>
        </w:tabs>
        <w:ind w:left="800" w:hanging="7"/>
        <w:rPr>
          <w:rFonts w:ascii="David" w:eastAsiaTheme="minorHAnsi" w:hAnsi="David" w:cs="David"/>
          <w:b/>
          <w:bCs/>
          <w:spacing w:val="0"/>
          <w:kern w:val="0"/>
          <w:sz w:val="24"/>
          <w:szCs w:val="24"/>
          <w:rtl/>
          <w14:ligatures w14:val="none"/>
        </w:rPr>
      </w:pPr>
      <w:r>
        <w:rPr>
          <w:rFonts w:ascii="David" w:eastAsiaTheme="minorHAnsi" w:hAnsi="David" w:cs="David"/>
          <w:spacing w:val="0"/>
          <w:kern w:val="0"/>
          <w:sz w:val="24"/>
          <w:szCs w:val="24"/>
          <w:rtl/>
          <w14:ligatures w14:val="none"/>
        </w:rPr>
        <w:t xml:space="preserve">"... </w:t>
      </w:r>
      <w:r>
        <w:rPr>
          <w:rFonts w:ascii="David" w:eastAsiaTheme="minorHAnsi" w:hAnsi="David" w:cs="David"/>
          <w:b/>
          <w:bCs/>
          <w:spacing w:val="0"/>
          <w:kern w:val="0"/>
          <w:sz w:val="24"/>
          <w:szCs w:val="24"/>
          <w:rtl/>
          <w14:ligatures w14:val="none"/>
        </w:rPr>
        <w:t xml:space="preserve">מכל מקום, טענותיו החדשות של המבקש ביחס לבעלותו הנטענת ומוכחשת באישיות המשפטית מסוג </w:t>
      </w:r>
      <w:r>
        <w:rPr>
          <w:rFonts w:ascii="David" w:eastAsiaTheme="minorHAnsi" w:hAnsi="David" w:cs="David"/>
          <w:b/>
          <w:bCs/>
          <w:spacing w:val="0"/>
          <w:kern w:val="0"/>
          <w:sz w:val="24"/>
          <w:szCs w:val="24"/>
          <w14:ligatures w14:val="none"/>
        </w:rPr>
        <w:t>trust</w:t>
      </w:r>
      <w:r>
        <w:rPr>
          <w:rFonts w:ascii="David" w:eastAsiaTheme="minorHAnsi" w:hAnsi="David" w:cs="David"/>
          <w:b/>
          <w:bCs/>
          <w:spacing w:val="0"/>
          <w:kern w:val="0"/>
          <w:sz w:val="24"/>
          <w:szCs w:val="24"/>
          <w:rtl/>
          <w14:ligatures w14:val="none"/>
        </w:rPr>
        <w:t xml:space="preserve"> </w:t>
      </w:r>
      <w:r>
        <w:rPr>
          <w:rFonts w:ascii="David" w:eastAsiaTheme="minorHAnsi" w:hAnsi="David" w:cs="David" w:hint="cs"/>
          <w:b/>
          <w:bCs/>
          <w:spacing w:val="0"/>
          <w:kern w:val="0"/>
          <w:sz w:val="24"/>
          <w:szCs w:val="24"/>
          <w:rtl/>
          <w14:ligatures w14:val="none"/>
        </w:rPr>
        <w:t>ובנכסים ו/או החשבונות דינם להתברר בארה"ב. אין לבית המשפט בישראל סמכות לדון בנכסים ובחברות המצויים בארה"ב ואשר התאגדו ופועלים בהתאם לדינים של ארה"ב. מעבר לשאלת הסמכות הרי שגם הפורום הנאות לדון בטענותיו המופרכות של המבקש הינו ארה"ב. שיתכבד המבקש וינהל הליך בפלורידה להוכחת טענותיו כי זויפו מסמכים, בעלותו הנטענת או מוכחשת</w:t>
      </w:r>
      <w:r>
        <w:rPr>
          <w:rFonts w:ascii="David" w:eastAsiaTheme="minorHAnsi" w:hAnsi="David" w:cs="David"/>
          <w:spacing w:val="0"/>
          <w:kern w:val="0"/>
          <w:sz w:val="24"/>
          <w:szCs w:val="24"/>
          <w:rtl/>
          <w14:ligatures w14:val="none"/>
        </w:rPr>
        <w:t>."  משעה ש"...</w:t>
      </w:r>
      <w:r>
        <w:rPr>
          <w:rFonts w:ascii="David" w:eastAsiaTheme="minorHAnsi" w:hAnsi="David" w:cs="David"/>
          <w:b/>
          <w:bCs/>
          <w:spacing w:val="0"/>
          <w:kern w:val="0"/>
          <w:sz w:val="24"/>
          <w:szCs w:val="24"/>
          <w:rtl/>
          <w14:ligatures w14:val="none"/>
        </w:rPr>
        <w:t>המבקש טען כי תחילה עליו להוכחת טענותיו בארה"ב יש למחוק את התביעה דנן הוא להורות לנתבע להגיש תביעותיו לארה"ב.</w:t>
      </w:r>
      <w:r>
        <w:rPr>
          <w:rFonts w:ascii="David" w:eastAsiaTheme="minorHAnsi" w:hAnsi="David" w:cs="David"/>
          <w:spacing w:val="0"/>
          <w:kern w:val="0"/>
          <w:sz w:val="24"/>
          <w:szCs w:val="24"/>
          <w:rtl/>
          <w14:ligatures w14:val="none"/>
        </w:rPr>
        <w:t>"</w:t>
      </w:r>
    </w:p>
    <w:p w:rsidR="00E61621" w:rsidRDefault="00E61621" w:rsidP="00E61621">
      <w:pPr>
        <w:pStyle w:val="Ruller4"/>
        <w:rPr>
          <w:rFonts w:ascii="David" w:eastAsiaTheme="minorHAnsi" w:hAnsi="David" w:cs="David"/>
          <w:spacing w:val="0"/>
          <w:kern w:val="0"/>
          <w:sz w:val="24"/>
          <w:szCs w:val="24"/>
          <w:rtl/>
          <w14:ligatures w14:val="none"/>
        </w:rPr>
      </w:pPr>
    </w:p>
    <w:p w:rsidR="00E61621" w:rsidRDefault="00E61621" w:rsidP="00E61621">
      <w:pPr>
        <w:pStyle w:val="Ruller4"/>
        <w:tabs>
          <w:tab w:val="left" w:pos="720"/>
        </w:tabs>
        <w:ind w:left="800" w:hanging="716"/>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21.</w:t>
      </w:r>
      <w:r>
        <w:rPr>
          <w:rFonts w:ascii="David" w:eastAsiaTheme="minorHAnsi" w:hAnsi="David" w:cs="David"/>
          <w:spacing w:val="0"/>
          <w:kern w:val="0"/>
          <w:sz w:val="24"/>
          <w:szCs w:val="24"/>
          <w:rtl/>
          <w14:ligatures w14:val="none"/>
        </w:rPr>
        <w:tab/>
        <w:t>המבקש ביקש לצרף את בתו כתובעת בתביעה  משום ש "...</w:t>
      </w:r>
      <w:r>
        <w:rPr>
          <w:rFonts w:ascii="David" w:eastAsiaTheme="minorHAnsi" w:hAnsi="David" w:cs="David"/>
          <w:b/>
          <w:bCs/>
          <w:spacing w:val="0"/>
          <w:kern w:val="0"/>
          <w:sz w:val="24"/>
          <w:szCs w:val="24"/>
          <w:rtl/>
          <w14:ligatures w14:val="none"/>
        </w:rPr>
        <w:t>לשיטתו אף היא הייתה רשומה כבעלים של הדירה בפלורידה</w:t>
      </w:r>
      <w:r>
        <w:rPr>
          <w:rFonts w:ascii="David" w:eastAsiaTheme="minorHAnsi" w:hAnsi="David" w:cs="David"/>
          <w:spacing w:val="0"/>
          <w:kern w:val="0"/>
          <w:sz w:val="24"/>
          <w:szCs w:val="24"/>
          <w:rtl/>
          <w14:ligatures w14:val="none"/>
        </w:rPr>
        <w:t>." הבת לא טרחה להיות "מבקשת" בבקשה לתיקון כתב תביעה, לא הוגש תצהיר מטעמה התומך בבקשת המבקש. מדובר בבת בגירה ואין די בבקשתו של המבקש על מנת לצרפה  ובכך יש נדבך נוסף בצורך במחיקת הבקשה.</w:t>
      </w:r>
    </w:p>
    <w:p w:rsidR="00E61621" w:rsidRDefault="00E61621" w:rsidP="00E61621">
      <w:pPr>
        <w:pStyle w:val="Ruller4"/>
        <w:rPr>
          <w:rFonts w:ascii="David" w:eastAsiaTheme="minorHAnsi" w:hAnsi="David" w:cs="David"/>
          <w:spacing w:val="0"/>
          <w:kern w:val="0"/>
          <w:sz w:val="24"/>
          <w:szCs w:val="24"/>
          <w:rtl/>
          <w14:ligatures w14:val="none"/>
        </w:rPr>
      </w:pPr>
    </w:p>
    <w:p w:rsidR="00E61621" w:rsidRDefault="00E61621" w:rsidP="00E61621">
      <w:pPr>
        <w:pStyle w:val="Ruller4"/>
        <w:tabs>
          <w:tab w:val="left" w:pos="720"/>
        </w:tabs>
        <w:ind w:left="714" w:hanging="63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22.</w:t>
      </w:r>
      <w:r>
        <w:rPr>
          <w:rFonts w:ascii="David" w:eastAsiaTheme="minorHAnsi" w:hAnsi="David" w:cs="David"/>
          <w:spacing w:val="0"/>
          <w:kern w:val="0"/>
          <w:sz w:val="24"/>
          <w:szCs w:val="24"/>
          <w:rtl/>
          <w14:ligatures w14:val="none"/>
        </w:rPr>
        <w:tab/>
        <w:t>התביעה והבקשה על נספחיה (מסמכים באנגלית לא מתורגמים וחוות דעת לדין הזר) "</w:t>
      </w:r>
      <w:r>
        <w:rPr>
          <w:rFonts w:ascii="David" w:eastAsiaTheme="minorHAnsi" w:hAnsi="David" w:cs="David"/>
          <w:b/>
          <w:bCs/>
          <w:spacing w:val="0"/>
          <w:kern w:val="0"/>
          <w:sz w:val="24"/>
          <w:szCs w:val="24"/>
          <w:rtl/>
          <w14:ligatures w14:val="none"/>
        </w:rPr>
        <w:t>מעידים על הבלבול, חוסר הקוהרנטיות בטענות המבקש ובצורך במחיקת התביעה</w:t>
      </w:r>
      <w:r>
        <w:rPr>
          <w:rFonts w:ascii="David" w:eastAsiaTheme="minorHAnsi" w:hAnsi="David" w:cs="David"/>
          <w:spacing w:val="0"/>
          <w:kern w:val="0"/>
          <w:sz w:val="24"/>
          <w:szCs w:val="24"/>
          <w:rtl/>
          <w14:ligatures w14:val="none"/>
        </w:rPr>
        <w:t xml:space="preserve"> </w:t>
      </w:r>
      <w:r>
        <w:rPr>
          <w:rFonts w:ascii="David" w:eastAsiaTheme="minorHAnsi" w:hAnsi="David" w:cs="David"/>
          <w:b/>
          <w:bCs/>
          <w:spacing w:val="0"/>
          <w:kern w:val="0"/>
          <w:sz w:val="24"/>
          <w:szCs w:val="24"/>
          <w:rtl/>
          <w14:ligatures w14:val="none"/>
        </w:rPr>
        <w:t>הטורדנית שהוגשה תוך העלאת טענות סותרות, בחוסר תום לב וכדי לנסות לגזול רכוש שאינו שייך למבקש</w:t>
      </w:r>
      <w:r>
        <w:rPr>
          <w:rFonts w:ascii="David" w:eastAsiaTheme="minorHAnsi" w:hAnsi="David" w:cs="David"/>
          <w:spacing w:val="0"/>
          <w:kern w:val="0"/>
          <w:sz w:val="24"/>
          <w:szCs w:val="24"/>
          <w:rtl/>
          <w14:ligatures w14:val="none"/>
        </w:rPr>
        <w:t>".</w:t>
      </w:r>
    </w:p>
    <w:p w:rsidR="00E61621" w:rsidRDefault="00E61621" w:rsidP="00E61621">
      <w:pPr>
        <w:pStyle w:val="Ruller4"/>
        <w:tabs>
          <w:tab w:val="left" w:pos="720"/>
        </w:tabs>
        <w:ind w:left="714" w:hanging="630"/>
        <w:rPr>
          <w:rFonts w:ascii="David" w:eastAsiaTheme="minorHAnsi" w:hAnsi="David" w:cs="David"/>
          <w:spacing w:val="0"/>
          <w:kern w:val="0"/>
          <w:sz w:val="24"/>
          <w:szCs w:val="24"/>
          <w:rtl/>
          <w14:ligatures w14:val="none"/>
        </w:rPr>
      </w:pPr>
    </w:p>
    <w:p w:rsidR="00E61621" w:rsidRDefault="00E61621" w:rsidP="00E61621">
      <w:pPr>
        <w:pStyle w:val="Ruller4"/>
        <w:tabs>
          <w:tab w:val="left" w:pos="-4310"/>
        </w:tabs>
        <w:ind w:left="714" w:hanging="714"/>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23.</w:t>
      </w:r>
      <w:r>
        <w:rPr>
          <w:rFonts w:ascii="David" w:eastAsiaTheme="minorHAnsi" w:hAnsi="David" w:cs="David"/>
          <w:spacing w:val="0"/>
          <w:kern w:val="0"/>
          <w:sz w:val="24"/>
          <w:szCs w:val="24"/>
          <w:rtl/>
          <w14:ligatures w14:val="none"/>
        </w:rPr>
        <w:tab/>
        <w:t xml:space="preserve">הנתבעת טענה שתיקון כתבי טענות נועד לצורך קיומו של הליך שיפוטי ראוי והוגן. הנטייה להיעתר לבקשה לתיקון כתב תביעה אינה 'אוטומטית', ועל בית המשפט לאזן בין מספר שיקולים ובהם האינטרס של מבקש התיקון אל מול האינטרס של המשיב שהתיקון המבוקש לא ירחיב את  מסד הדיון שלא לצורך, אינטרס הציבור ביעילות ההליכים ואי הקצאת זמן שיפוטי יקר שלא לצורך שתנבע מסרבול ההליך והארכתו שלא לצורך.   </w:t>
      </w:r>
    </w:p>
    <w:p w:rsidR="00E61621" w:rsidRDefault="00E61621" w:rsidP="00E61621">
      <w:pPr>
        <w:pStyle w:val="Ruller4"/>
        <w:rPr>
          <w:rFonts w:ascii="David" w:eastAsiaTheme="minorHAnsi" w:hAnsi="David" w:cs="David"/>
          <w:spacing w:val="0"/>
          <w:kern w:val="0"/>
          <w:sz w:val="24"/>
          <w:szCs w:val="24"/>
          <w14:ligatures w14:val="none"/>
        </w:rPr>
      </w:pPr>
    </w:p>
    <w:p w:rsidR="00E61621" w:rsidRDefault="00E61621" w:rsidP="00E61621">
      <w:pPr>
        <w:pStyle w:val="Ruller4"/>
        <w:tabs>
          <w:tab w:val="left" w:pos="720"/>
        </w:tabs>
        <w:ind w:left="714"/>
        <w:rPr>
          <w:rFonts w:ascii="David" w:hAnsi="David" w:cs="David"/>
          <w:sz w:val="24"/>
          <w:szCs w:val="24"/>
          <w:rtl/>
        </w:rPr>
      </w:pPr>
      <w:r>
        <w:rPr>
          <w:rFonts w:ascii="David" w:eastAsiaTheme="minorHAnsi" w:hAnsi="David" w:cs="David"/>
          <w:spacing w:val="0"/>
          <w:kern w:val="0"/>
          <w:sz w:val="24"/>
          <w:szCs w:val="24"/>
          <w:rtl/>
          <w14:ligatures w14:val="none"/>
        </w:rPr>
        <w:t>לגישת המשיבה שקלול טעמים אלו אמורים להוביל לדחיית הבקשה לתיקון התביעה. עוד טענה המשיבה שבתיקון מבקש המבקש להוסיף עילת תביעה חדשה ביחס לנכסים חדשים במדינת פלורידה שבארה"ב. הלכה היא  שבית משפט לא ייעתר לבקשה לתיקון כתב תביעה</w:t>
      </w:r>
      <w:r>
        <w:rPr>
          <w:rFonts w:ascii="David" w:hAnsi="David" w:cs="David"/>
          <w:sz w:val="24"/>
          <w:szCs w:val="24"/>
          <w:rtl/>
        </w:rPr>
        <w:t xml:space="preserve"> </w:t>
      </w:r>
      <w:r>
        <w:rPr>
          <w:rFonts w:ascii="David" w:eastAsiaTheme="minorHAnsi" w:hAnsi="David" w:cs="David"/>
          <w:spacing w:val="0"/>
          <w:kern w:val="0"/>
          <w:sz w:val="24"/>
          <w:szCs w:val="24"/>
          <w:rtl/>
          <w14:ligatures w14:val="none"/>
        </w:rPr>
        <w:t>על דרך של הוספת עילה חדשה</w:t>
      </w:r>
      <w:r>
        <w:rPr>
          <w:rFonts w:ascii="David" w:eastAsiaTheme="minorHAnsi" w:hAnsi="David" w:cs="David"/>
          <w:b/>
          <w:bCs/>
          <w:spacing w:val="0"/>
          <w:kern w:val="0"/>
          <w:sz w:val="24"/>
          <w:szCs w:val="24"/>
          <w:rtl/>
          <w14:ligatures w14:val="none"/>
        </w:rPr>
        <w:t xml:space="preserve"> </w:t>
      </w:r>
      <w:r>
        <w:rPr>
          <w:rFonts w:ascii="David" w:eastAsiaTheme="minorHAnsi" w:hAnsi="David" w:cs="David"/>
          <w:spacing w:val="0"/>
          <w:kern w:val="0"/>
          <w:sz w:val="24"/>
          <w:szCs w:val="24"/>
          <w:rtl/>
          <w14:ligatures w14:val="none"/>
        </w:rPr>
        <w:t xml:space="preserve">ואשר הראיות להוכחתה שונות מן הראיות הדרושות להוכחת העילה המקורית "... </w:t>
      </w:r>
      <w:r>
        <w:rPr>
          <w:rFonts w:ascii="David" w:eastAsiaTheme="minorHAnsi" w:hAnsi="David" w:cs="David"/>
          <w:b/>
          <w:bCs/>
          <w:spacing w:val="0"/>
          <w:kern w:val="0"/>
          <w:sz w:val="24"/>
          <w:szCs w:val="24"/>
          <w:rtl/>
          <w14:ligatures w14:val="none"/>
        </w:rPr>
        <w:t>וכי בית המשפט "ייטה שלא להתיר תיקון כתב טענות אם מטרת התיקון היא הוספת עילה חדשה, אשר הראיות להוכחת שונות מן הראיות הדרושות להוכחת העילה המקורית."</w:t>
      </w:r>
      <w:r>
        <w:rPr>
          <w:rFonts w:ascii="David" w:eastAsiaTheme="minorHAnsi" w:hAnsi="David" w:cs="David"/>
          <w:spacing w:val="0"/>
          <w:kern w:val="0"/>
          <w:sz w:val="24"/>
          <w:szCs w:val="24"/>
          <w:rtl/>
          <w14:ligatures w14:val="none"/>
        </w:rPr>
        <w:t>"</w:t>
      </w:r>
    </w:p>
    <w:p w:rsidR="00E61621" w:rsidRDefault="00E61621" w:rsidP="00E61621">
      <w:pPr>
        <w:pStyle w:val="Ruller4"/>
        <w:tabs>
          <w:tab w:val="left" w:pos="720"/>
        </w:tabs>
        <w:ind w:left="714" w:hanging="630"/>
        <w:rPr>
          <w:rFonts w:ascii="David" w:eastAsiaTheme="minorHAnsi" w:hAnsi="David" w:cs="David"/>
          <w:spacing w:val="0"/>
          <w:kern w:val="0"/>
          <w:sz w:val="24"/>
          <w:szCs w:val="24"/>
          <w:rtl/>
          <w14:ligatures w14:val="none"/>
        </w:rPr>
      </w:pPr>
    </w:p>
    <w:p w:rsidR="00E61621" w:rsidRDefault="00E61621" w:rsidP="00E61621">
      <w:pPr>
        <w:pStyle w:val="Ruller4"/>
        <w:tabs>
          <w:tab w:val="left" w:pos="-4114"/>
        </w:tabs>
        <w:ind w:left="714" w:hanging="714"/>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24.</w:t>
      </w:r>
      <w:r>
        <w:rPr>
          <w:rFonts w:ascii="David" w:eastAsiaTheme="minorHAnsi" w:hAnsi="David" w:cs="David"/>
          <w:spacing w:val="0"/>
          <w:kern w:val="0"/>
          <w:sz w:val="24"/>
          <w:szCs w:val="24"/>
          <w:rtl/>
          <w14:ligatures w14:val="none"/>
        </w:rPr>
        <w:tab/>
        <w:t xml:space="preserve">ביחס למסמכים שצורפו לבקשה והוגדרו 'חוות דעת לדין הזר' ו-'חוות דעת של גרפולוג' (לצורך הוכחת טענתו שזויפו מסמכים הנוגעים להעברת החברה ממנו ומבתו על שם המשיבה) אלו צורפו ללא נטילת רשות מבית המשפט. </w:t>
      </w:r>
    </w:p>
    <w:p w:rsidR="00E61621" w:rsidRDefault="00E61621" w:rsidP="00E61621">
      <w:pPr>
        <w:pStyle w:val="Ruller4"/>
        <w:rPr>
          <w:rFonts w:ascii="David" w:hAnsi="David" w:cs="David"/>
          <w:sz w:val="24"/>
          <w:szCs w:val="24"/>
        </w:rPr>
      </w:pPr>
    </w:p>
    <w:p w:rsidR="00E61621" w:rsidRDefault="00E61621" w:rsidP="00E61621">
      <w:pPr>
        <w:pStyle w:val="Ruller4"/>
        <w:rPr>
          <w:rFonts w:ascii="David" w:hAnsi="David" w:cs="David"/>
          <w:sz w:val="24"/>
          <w:szCs w:val="24"/>
          <w:rtl/>
        </w:rPr>
      </w:pPr>
      <w:r>
        <w:rPr>
          <w:rFonts w:ascii="David" w:hAnsi="David" w:cs="David"/>
          <w:sz w:val="24"/>
          <w:szCs w:val="24"/>
          <w:rtl/>
        </w:rPr>
        <w:tab/>
        <w:t>בעשותו כן "</w:t>
      </w:r>
      <w:r>
        <w:rPr>
          <w:rFonts w:ascii="David" w:eastAsiaTheme="minorHAnsi" w:hAnsi="David" w:cs="David"/>
          <w:b/>
          <w:bCs/>
          <w:spacing w:val="0"/>
          <w:kern w:val="0"/>
          <w:sz w:val="24"/>
          <w:szCs w:val="24"/>
          <w:rtl/>
          <w14:ligatures w14:val="none"/>
        </w:rPr>
        <w:t>חטא המבקש פעמיים</w:t>
      </w:r>
      <w:r>
        <w:rPr>
          <w:rFonts w:ascii="David" w:hAnsi="David" w:cs="David"/>
          <w:sz w:val="24"/>
          <w:szCs w:val="24"/>
          <w:rtl/>
        </w:rPr>
        <w:t xml:space="preserve">.  </w:t>
      </w:r>
    </w:p>
    <w:p w:rsidR="00E61621" w:rsidRDefault="00E61621" w:rsidP="00E61621">
      <w:pPr>
        <w:pStyle w:val="Ruller4"/>
        <w:tabs>
          <w:tab w:val="left" w:pos="-2494"/>
        </w:tabs>
        <w:ind w:left="720" w:hanging="720"/>
        <w:rPr>
          <w:rFonts w:ascii="David" w:eastAsiaTheme="minorHAnsi" w:hAnsi="David" w:cs="David"/>
          <w:b/>
          <w:bCs/>
          <w:spacing w:val="0"/>
          <w:kern w:val="0"/>
          <w:sz w:val="24"/>
          <w:szCs w:val="24"/>
          <w:rtl/>
          <w14:ligatures w14:val="none"/>
        </w:rPr>
      </w:pPr>
      <w:r>
        <w:rPr>
          <w:rFonts w:ascii="David" w:hAnsi="David" w:cs="David"/>
          <w:sz w:val="24"/>
          <w:szCs w:val="24"/>
          <w:rtl/>
        </w:rPr>
        <w:tab/>
      </w:r>
      <w:r>
        <w:rPr>
          <w:rFonts w:ascii="David" w:eastAsiaTheme="minorHAnsi" w:hAnsi="David" w:cs="David"/>
          <w:b/>
          <w:bCs/>
          <w:spacing w:val="0"/>
          <w:kern w:val="0"/>
          <w:sz w:val="24"/>
          <w:szCs w:val="24"/>
          <w:rtl/>
          <w14:ligatures w14:val="none"/>
        </w:rPr>
        <w:t xml:space="preserve">א. </w:t>
      </w:r>
      <w:r>
        <w:rPr>
          <w:rFonts w:ascii="David" w:eastAsiaTheme="minorHAnsi" w:hAnsi="David" w:cs="David"/>
          <w:b/>
          <w:bCs/>
          <w:spacing w:val="0"/>
          <w:kern w:val="0"/>
          <w:sz w:val="24"/>
          <w:szCs w:val="24"/>
          <w:rtl/>
          <w14:ligatures w14:val="none"/>
        </w:rPr>
        <w:tab/>
        <w:t xml:space="preserve">חוות הדעת הנטענת היא בכלל אינה חוות דעת ואינה עומדת בדרישות </w:t>
      </w:r>
    </w:p>
    <w:p w:rsidR="00E61621" w:rsidRDefault="00E61621" w:rsidP="00E61621">
      <w:pPr>
        <w:pStyle w:val="Ruller4"/>
        <w:tabs>
          <w:tab w:val="left" w:pos="-2494"/>
        </w:tabs>
        <w:ind w:left="1440" w:hanging="720"/>
        <w:rPr>
          <w:rFonts w:ascii="David" w:eastAsiaTheme="minorHAnsi" w:hAnsi="David" w:cs="David"/>
          <w:b/>
          <w:bCs/>
          <w:spacing w:val="0"/>
          <w:kern w:val="0"/>
          <w:sz w:val="24"/>
          <w:szCs w:val="24"/>
          <w:rtl/>
          <w14:ligatures w14:val="none"/>
        </w:rPr>
      </w:pPr>
      <w:r>
        <w:rPr>
          <w:rFonts w:ascii="David" w:eastAsiaTheme="minorHAnsi" w:hAnsi="David" w:cs="David"/>
          <w:b/>
          <w:bCs/>
          <w:spacing w:val="0"/>
          <w:kern w:val="0"/>
          <w:sz w:val="24"/>
          <w:szCs w:val="24"/>
          <w:rtl/>
          <w14:ligatures w14:val="none"/>
        </w:rPr>
        <w:tab/>
        <w:t xml:space="preserve">פקודת הראיות לצורך היותה חוות דעת. כך גם מי שחתום על המסמך אינו בגדר מומחה. </w:t>
      </w:r>
    </w:p>
    <w:p w:rsidR="00E61621" w:rsidRDefault="00E61621" w:rsidP="00E61621">
      <w:pPr>
        <w:pStyle w:val="Ruller4"/>
        <w:tabs>
          <w:tab w:val="left" w:pos="-6094"/>
        </w:tabs>
        <w:ind w:left="720" w:hanging="720"/>
        <w:rPr>
          <w:rFonts w:ascii="David" w:eastAsiaTheme="minorHAnsi" w:hAnsi="David" w:cs="David"/>
          <w:b/>
          <w:bCs/>
          <w:spacing w:val="0"/>
          <w:kern w:val="0"/>
          <w:sz w:val="24"/>
          <w:szCs w:val="24"/>
          <w:rtl/>
          <w14:ligatures w14:val="none"/>
        </w:rPr>
      </w:pPr>
      <w:r>
        <w:rPr>
          <w:rFonts w:ascii="David" w:eastAsiaTheme="minorHAnsi" w:hAnsi="David" w:cs="David"/>
          <w:b/>
          <w:bCs/>
          <w:spacing w:val="0"/>
          <w:kern w:val="0"/>
          <w:sz w:val="24"/>
          <w:szCs w:val="24"/>
          <w:rtl/>
          <w14:ligatures w14:val="none"/>
        </w:rPr>
        <w:tab/>
        <w:t>ב.</w:t>
      </w:r>
      <w:r>
        <w:rPr>
          <w:rFonts w:ascii="David" w:eastAsiaTheme="minorHAnsi" w:hAnsi="David" w:cs="David"/>
          <w:b/>
          <w:bCs/>
          <w:spacing w:val="0"/>
          <w:kern w:val="0"/>
          <w:sz w:val="24"/>
          <w:szCs w:val="24"/>
          <w:rtl/>
          <w14:ligatures w14:val="none"/>
        </w:rPr>
        <w:tab/>
        <w:t xml:space="preserve">אין לבעל דין זכות להגיש לבית המשפט לענייני משפחה חוות דעת מטעמו </w:t>
      </w:r>
    </w:p>
    <w:p w:rsidR="00E61621" w:rsidRDefault="00E61621" w:rsidP="00E61621">
      <w:pPr>
        <w:pStyle w:val="Ruller4"/>
        <w:tabs>
          <w:tab w:val="left" w:pos="-6094"/>
        </w:tabs>
        <w:ind w:left="720" w:hanging="720"/>
        <w:rPr>
          <w:rFonts w:ascii="David" w:hAnsi="David" w:cs="David"/>
          <w:sz w:val="24"/>
          <w:szCs w:val="24"/>
          <w:rtl/>
        </w:rPr>
      </w:pPr>
      <w:r>
        <w:rPr>
          <w:rFonts w:ascii="David" w:eastAsiaTheme="minorHAnsi" w:hAnsi="David" w:cs="David"/>
          <w:b/>
          <w:bCs/>
          <w:spacing w:val="0"/>
          <w:kern w:val="0"/>
          <w:sz w:val="24"/>
          <w:szCs w:val="24"/>
          <w:rtl/>
          <w14:ligatures w14:val="none"/>
        </w:rPr>
        <w:tab/>
      </w:r>
      <w:r>
        <w:rPr>
          <w:rFonts w:ascii="David" w:eastAsiaTheme="minorHAnsi" w:hAnsi="David" w:cs="David"/>
          <w:b/>
          <w:bCs/>
          <w:spacing w:val="0"/>
          <w:kern w:val="0"/>
          <w:sz w:val="24"/>
          <w:szCs w:val="24"/>
          <w:rtl/>
          <w14:ligatures w14:val="none"/>
        </w:rPr>
        <w:tab/>
        <w:t>שלא ברשות בית המשפט הנכבד".</w:t>
      </w:r>
      <w:r>
        <w:rPr>
          <w:rFonts w:ascii="David" w:hAnsi="David" w:cs="David"/>
          <w:sz w:val="24"/>
          <w:szCs w:val="24"/>
          <w:rtl/>
        </w:rPr>
        <w:t xml:space="preserve">  </w:t>
      </w:r>
    </w:p>
    <w:p w:rsidR="00E61621" w:rsidRDefault="00E61621" w:rsidP="00E61621">
      <w:pPr>
        <w:pStyle w:val="Ruller4"/>
        <w:tabs>
          <w:tab w:val="left" w:pos="-6094"/>
        </w:tabs>
        <w:ind w:left="720" w:hanging="720"/>
        <w:rPr>
          <w:rFonts w:ascii="David" w:hAnsi="David" w:cs="David"/>
          <w:sz w:val="24"/>
          <w:szCs w:val="24"/>
          <w:rtl/>
        </w:rPr>
      </w:pPr>
    </w:p>
    <w:p w:rsidR="00E61621" w:rsidRDefault="00E61621" w:rsidP="00E61621">
      <w:pPr>
        <w:pStyle w:val="Ruller4"/>
        <w:tabs>
          <w:tab w:val="left" w:pos="-6094"/>
        </w:tabs>
        <w:ind w:left="720" w:hanging="720"/>
        <w:rPr>
          <w:rFonts w:ascii="David" w:eastAsiaTheme="minorHAnsi" w:hAnsi="David" w:cs="David"/>
          <w:spacing w:val="0"/>
          <w:kern w:val="0"/>
          <w:sz w:val="24"/>
          <w:szCs w:val="24"/>
          <w:rtl/>
          <w14:ligatures w14:val="none"/>
        </w:rPr>
      </w:pPr>
      <w:r>
        <w:rPr>
          <w:rFonts w:ascii="David" w:hAnsi="David" w:cs="David"/>
          <w:sz w:val="24"/>
          <w:szCs w:val="24"/>
          <w:rtl/>
        </w:rPr>
        <w:tab/>
      </w:r>
      <w:r>
        <w:rPr>
          <w:rFonts w:ascii="David" w:eastAsiaTheme="minorHAnsi" w:hAnsi="David" w:cs="David"/>
          <w:spacing w:val="0"/>
          <w:kern w:val="0"/>
          <w:sz w:val="24"/>
          <w:szCs w:val="24"/>
          <w:rtl/>
          <w14:ligatures w14:val="none"/>
        </w:rPr>
        <w:t>(המשיבה הפנתה לתקנה 25 (א) לתקנות בית המשפט לענייני משפחה (סדרי דין) תשפ"א-2020 ולסעיף 8 (ג) לחוק בית המשפט לענייני משפחה,  תשנ"ה-1995.)</w:t>
      </w:r>
    </w:p>
    <w:p w:rsidR="00E61621" w:rsidRDefault="00E61621" w:rsidP="00E61621">
      <w:pPr>
        <w:pStyle w:val="Ruller4"/>
        <w:tabs>
          <w:tab w:val="left" w:pos="-6094"/>
        </w:tabs>
        <w:ind w:left="720" w:hanging="720"/>
        <w:rPr>
          <w:rFonts w:ascii="David" w:eastAsiaTheme="minorHAnsi" w:hAnsi="David" w:cs="David"/>
          <w:spacing w:val="0"/>
          <w:kern w:val="0"/>
          <w:sz w:val="24"/>
          <w:szCs w:val="24"/>
          <w:rtl/>
          <w14:ligatures w14:val="none"/>
        </w:rPr>
      </w:pPr>
    </w:p>
    <w:p w:rsidR="00E61621" w:rsidRPr="00C744FD" w:rsidRDefault="00E61621" w:rsidP="00E61621">
      <w:pPr>
        <w:pStyle w:val="Ruller4"/>
        <w:tabs>
          <w:tab w:val="left" w:pos="-6094"/>
        </w:tabs>
        <w:ind w:left="720" w:hanging="720"/>
        <w:rPr>
          <w:rFonts w:ascii="David" w:eastAsiaTheme="minorHAnsi" w:hAnsi="David" w:cs="David"/>
          <w:b/>
          <w:bCs/>
          <w:spacing w:val="0"/>
          <w:kern w:val="0"/>
          <w:sz w:val="28"/>
          <w:rtl/>
          <w14:ligatures w14:val="none"/>
        </w:rPr>
      </w:pPr>
      <w:r>
        <w:rPr>
          <w:rFonts w:ascii="David" w:eastAsiaTheme="minorHAnsi" w:hAnsi="David" w:cs="David"/>
          <w:b/>
          <w:bCs/>
          <w:spacing w:val="0"/>
          <w:kern w:val="0"/>
          <w:sz w:val="28"/>
          <w:u w:val="single"/>
          <w:rtl/>
          <w14:ligatures w14:val="none"/>
        </w:rPr>
        <w:t>הדיון מיום 6/7/2023</w:t>
      </w:r>
      <w:r>
        <w:rPr>
          <w:rFonts w:ascii="David" w:eastAsiaTheme="minorHAnsi" w:hAnsi="David" w:cs="David" w:hint="cs"/>
          <w:b/>
          <w:bCs/>
          <w:spacing w:val="0"/>
          <w:kern w:val="0"/>
          <w:sz w:val="28"/>
          <w:rtl/>
          <w14:ligatures w14:val="none"/>
        </w:rPr>
        <w:t>:</w:t>
      </w:r>
    </w:p>
    <w:p w:rsidR="00E61621" w:rsidRDefault="00E61621" w:rsidP="00E61621">
      <w:pPr>
        <w:pStyle w:val="Ruller4"/>
        <w:tabs>
          <w:tab w:val="left" w:pos="-6094"/>
        </w:tabs>
        <w:ind w:left="720" w:hanging="720"/>
        <w:rPr>
          <w:rFonts w:ascii="David" w:eastAsiaTheme="minorHAnsi" w:hAnsi="David" w:cs="David"/>
          <w:spacing w:val="0"/>
          <w:kern w:val="0"/>
          <w:sz w:val="24"/>
          <w:szCs w:val="24"/>
          <w:rtl/>
          <w14:ligatures w14:val="none"/>
        </w:rPr>
      </w:pPr>
    </w:p>
    <w:p w:rsidR="00E61621" w:rsidRDefault="00E61621" w:rsidP="00E61621">
      <w:pPr>
        <w:pStyle w:val="Ruller4"/>
        <w:tabs>
          <w:tab w:val="left" w:pos="-6094"/>
          <w:tab w:val="left" w:pos="-3034"/>
        </w:tabs>
        <w:ind w:left="720" w:hanging="720"/>
        <w:rPr>
          <w:rFonts w:ascii="David" w:eastAsiaTheme="minorHAnsi" w:hAnsi="David" w:cs="David"/>
          <w:b/>
          <w:bCs/>
          <w:spacing w:val="0"/>
          <w:kern w:val="0"/>
          <w:sz w:val="24"/>
          <w:szCs w:val="24"/>
          <w:rtl/>
          <w14:ligatures w14:val="none"/>
        </w:rPr>
      </w:pPr>
      <w:r>
        <w:rPr>
          <w:rFonts w:ascii="David" w:eastAsiaTheme="minorHAnsi" w:hAnsi="David" w:cs="David"/>
          <w:spacing w:val="0"/>
          <w:kern w:val="0"/>
          <w:sz w:val="24"/>
          <w:szCs w:val="24"/>
          <w:rtl/>
          <w14:ligatures w14:val="none"/>
        </w:rPr>
        <w:t>25.</w:t>
      </w:r>
      <w:r>
        <w:rPr>
          <w:rFonts w:ascii="David" w:eastAsiaTheme="minorHAnsi" w:hAnsi="David" w:cs="David"/>
          <w:spacing w:val="0"/>
          <w:kern w:val="0"/>
          <w:sz w:val="24"/>
          <w:szCs w:val="24"/>
          <w:rtl/>
          <w14:ligatures w14:val="none"/>
        </w:rPr>
        <w:tab/>
        <w:t>ביום 6/7/2023 התקיים לפני דיון. בעיקרם של דברים חזרו הצדדים על טענותיהם בכתב  ואין מקום להרחיב בכך.  עם זאת ראוי ונכון להביא מדברי באת כוחו של התובע שטענה</w:t>
      </w:r>
      <w:r>
        <w:rPr>
          <w:rFonts w:ascii="David" w:eastAsiaTheme="minorHAnsi" w:hAnsi="David" w:cs="David"/>
          <w:b/>
          <w:bCs/>
          <w:spacing w:val="0"/>
          <w:kern w:val="0"/>
          <w:sz w:val="24"/>
          <w:szCs w:val="24"/>
          <w:rtl/>
          <w14:ligatures w14:val="none"/>
        </w:rPr>
        <w:t xml:space="preserve"> "אנו לא טענו נגד הצוואה, טענו נגד היקף העיזבון  מכוח צו הקיום שניתן. להגיש בקשה לביטול צו קיום צוואה מגישים כשיש טענות כלפי כשרות הצוואה, זה לא ההליך, ההליך דן כלפי היקף </w:t>
      </w:r>
      <w:proofErr w:type="spellStart"/>
      <w:r>
        <w:rPr>
          <w:rFonts w:ascii="David" w:eastAsiaTheme="minorHAnsi" w:hAnsi="David" w:cs="David"/>
          <w:b/>
          <w:bCs/>
          <w:spacing w:val="0"/>
          <w:kern w:val="0"/>
          <w:sz w:val="24"/>
          <w:szCs w:val="24"/>
          <w:rtl/>
          <w14:ligatures w14:val="none"/>
        </w:rPr>
        <w:t>העזבון</w:t>
      </w:r>
      <w:proofErr w:type="spellEnd"/>
      <w:r>
        <w:rPr>
          <w:rFonts w:ascii="David" w:eastAsiaTheme="minorHAnsi" w:hAnsi="David" w:cs="David"/>
          <w:b/>
          <w:bCs/>
          <w:spacing w:val="0"/>
          <w:kern w:val="0"/>
          <w:sz w:val="24"/>
          <w:szCs w:val="24"/>
          <w:rtl/>
          <w14:ligatures w14:val="none"/>
        </w:rPr>
        <w:t xml:space="preserve"> </w:t>
      </w:r>
      <w:proofErr w:type="spellStart"/>
      <w:r>
        <w:rPr>
          <w:rFonts w:ascii="David" w:eastAsiaTheme="minorHAnsi" w:hAnsi="David" w:cs="David"/>
          <w:b/>
          <w:bCs/>
          <w:spacing w:val="0"/>
          <w:kern w:val="0"/>
          <w:sz w:val="24"/>
          <w:szCs w:val="24"/>
          <w:rtl/>
          <w14:ligatures w14:val="none"/>
        </w:rPr>
        <w:t>מכח</w:t>
      </w:r>
      <w:proofErr w:type="spellEnd"/>
      <w:r>
        <w:rPr>
          <w:rFonts w:ascii="David" w:eastAsiaTheme="minorHAnsi" w:hAnsi="David" w:cs="David"/>
          <w:b/>
          <w:bCs/>
          <w:spacing w:val="0"/>
          <w:kern w:val="0"/>
          <w:sz w:val="24"/>
          <w:szCs w:val="24"/>
          <w:rtl/>
          <w14:ligatures w14:val="none"/>
        </w:rPr>
        <w:t xml:space="preserve"> הצו. הוא לא טען נגד הצוואה." </w:t>
      </w:r>
      <w:r>
        <w:rPr>
          <w:rFonts w:ascii="David" w:eastAsiaTheme="minorHAnsi" w:hAnsi="David" w:cs="David"/>
          <w:spacing w:val="0"/>
          <w:kern w:val="0"/>
          <w:sz w:val="24"/>
          <w:szCs w:val="24"/>
          <w:rtl/>
          <w14:ligatures w14:val="none"/>
        </w:rPr>
        <w:t xml:space="preserve">(פרוטוקול עמ' 1 ש' 16-14).  </w:t>
      </w:r>
    </w:p>
    <w:p w:rsidR="00E61621" w:rsidRDefault="00E61621" w:rsidP="00E61621">
      <w:pPr>
        <w:pStyle w:val="Ruller4"/>
        <w:tabs>
          <w:tab w:val="left" w:pos="-6094"/>
          <w:tab w:val="left" w:pos="-3034"/>
        </w:tabs>
        <w:ind w:left="720" w:hanging="720"/>
        <w:rPr>
          <w:rFonts w:ascii="David" w:eastAsiaTheme="minorHAnsi" w:hAnsi="David" w:cs="David"/>
          <w:spacing w:val="0"/>
          <w:kern w:val="0"/>
          <w:sz w:val="24"/>
          <w:szCs w:val="24"/>
          <w:rtl/>
          <w14:ligatures w14:val="none"/>
        </w:rPr>
      </w:pPr>
    </w:p>
    <w:p w:rsidR="00E61621" w:rsidRDefault="00E61621" w:rsidP="00E61621">
      <w:pPr>
        <w:pStyle w:val="Ruller4"/>
        <w:tabs>
          <w:tab w:val="left" w:pos="-6094"/>
          <w:tab w:val="left" w:pos="-3034"/>
        </w:tabs>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ab/>
        <w:t>ומדברי בא כוחה של הנתבעת "</w:t>
      </w:r>
      <w:r>
        <w:rPr>
          <w:rFonts w:ascii="David" w:eastAsiaTheme="minorHAnsi" w:hAnsi="David" w:cs="David"/>
          <w:b/>
          <w:bCs/>
          <w:spacing w:val="0"/>
          <w:kern w:val="0"/>
          <w:sz w:val="24"/>
          <w:szCs w:val="24"/>
          <w:rtl/>
          <w14:ligatures w14:val="none"/>
        </w:rPr>
        <w:t xml:space="preserve">אנו כמובן מבקשים היום למחוק את התביעה, אנו סבורים שהיא הייתה צריכה להימחק לפני כן, בטח הבקשה שהייתה מונחת להשהות את ההליך כדי שהם </w:t>
      </w:r>
      <w:proofErr w:type="spellStart"/>
      <w:r>
        <w:rPr>
          <w:rFonts w:ascii="David" w:eastAsiaTheme="minorHAnsi" w:hAnsi="David" w:cs="David"/>
          <w:b/>
          <w:bCs/>
          <w:spacing w:val="0"/>
          <w:kern w:val="0"/>
          <w:sz w:val="24"/>
          <w:szCs w:val="24"/>
          <w:rtl/>
          <w14:ligatures w14:val="none"/>
        </w:rPr>
        <w:t>יילכו</w:t>
      </w:r>
      <w:proofErr w:type="spellEnd"/>
      <w:r>
        <w:rPr>
          <w:rFonts w:ascii="David" w:eastAsiaTheme="minorHAnsi" w:hAnsi="David" w:cs="David"/>
          <w:b/>
          <w:bCs/>
          <w:spacing w:val="0"/>
          <w:kern w:val="0"/>
          <w:sz w:val="24"/>
          <w:szCs w:val="24"/>
          <w:rtl/>
          <w14:ligatures w14:val="none"/>
        </w:rPr>
        <w:t xml:space="preserve"> לארצות הברית ואולי יזכו שם. אין הליך כזה ולכן התביעה צריכה להימחק. מכוון שהתביעה גם הוגשה כפי שהוגשה ובחוסר תום לב, על הראיות שהיא הוגשה שהופרכו בכתב התביעה ובגינן גם הוגשה הבקשה, אנו נבקש הוצאות, התייצבנו לדיון באילת</w:t>
      </w:r>
      <w:r>
        <w:rPr>
          <w:rFonts w:ascii="David" w:eastAsiaTheme="minorHAnsi" w:hAnsi="David" w:cs="David"/>
          <w:spacing w:val="0"/>
          <w:kern w:val="0"/>
          <w:sz w:val="24"/>
          <w:szCs w:val="24"/>
          <w:rtl/>
          <w14:ligatures w14:val="none"/>
        </w:rPr>
        <w:t>" (</w:t>
      </w:r>
      <w:r>
        <w:rPr>
          <w:rFonts w:ascii="David" w:eastAsiaTheme="minorHAnsi" w:hAnsi="David" w:cs="David"/>
          <w:spacing w:val="0"/>
          <w:kern w:val="0"/>
          <w:sz w:val="24"/>
          <w:szCs w:val="24"/>
          <w:u w:val="single"/>
          <w:rtl/>
          <w14:ligatures w14:val="none"/>
        </w:rPr>
        <w:t>שם</w:t>
      </w:r>
      <w:r>
        <w:rPr>
          <w:rFonts w:ascii="David" w:eastAsiaTheme="minorHAnsi" w:hAnsi="David" w:cs="David"/>
          <w:spacing w:val="0"/>
          <w:kern w:val="0"/>
          <w:sz w:val="24"/>
          <w:szCs w:val="24"/>
          <w:rtl/>
          <w14:ligatures w14:val="none"/>
        </w:rPr>
        <w:t xml:space="preserve"> עמ' 4 ש' 35-31).</w:t>
      </w:r>
    </w:p>
    <w:p w:rsidR="00E61621" w:rsidRDefault="00E61621" w:rsidP="00E61621">
      <w:pPr>
        <w:pStyle w:val="Ruller4"/>
        <w:tabs>
          <w:tab w:val="left" w:pos="-6094"/>
          <w:tab w:val="left" w:pos="-3034"/>
        </w:tabs>
        <w:ind w:left="720" w:hanging="720"/>
        <w:rPr>
          <w:rFonts w:ascii="David" w:eastAsiaTheme="minorHAnsi" w:hAnsi="David" w:cs="David"/>
          <w:spacing w:val="0"/>
          <w:kern w:val="0"/>
          <w:sz w:val="24"/>
          <w:szCs w:val="24"/>
          <w:rtl/>
          <w14:ligatures w14:val="none"/>
        </w:rPr>
      </w:pPr>
    </w:p>
    <w:p w:rsidR="00E61621" w:rsidRDefault="00E61621" w:rsidP="00E61621">
      <w:pPr>
        <w:pStyle w:val="Ruller4"/>
        <w:tabs>
          <w:tab w:val="left" w:pos="-6094"/>
        </w:tabs>
        <w:ind w:left="720" w:hanging="720"/>
        <w:rPr>
          <w:rFonts w:ascii="David" w:eastAsiaTheme="minorHAnsi" w:hAnsi="David" w:cs="David"/>
          <w:b/>
          <w:bCs/>
          <w:spacing w:val="0"/>
          <w:kern w:val="0"/>
          <w:sz w:val="28"/>
          <w:rtl/>
          <w14:ligatures w14:val="none"/>
        </w:rPr>
      </w:pPr>
      <w:r>
        <w:rPr>
          <w:rFonts w:ascii="David" w:eastAsiaTheme="minorHAnsi" w:hAnsi="David" w:cs="David"/>
          <w:b/>
          <w:bCs/>
          <w:spacing w:val="0"/>
          <w:kern w:val="0"/>
          <w:sz w:val="28"/>
          <w:u w:val="single"/>
          <w:rtl/>
          <w14:ligatures w14:val="none"/>
        </w:rPr>
        <w:t>דיון והחלטה</w:t>
      </w:r>
      <w:r>
        <w:rPr>
          <w:rFonts w:ascii="David" w:eastAsiaTheme="minorHAnsi" w:hAnsi="David" w:cs="David"/>
          <w:b/>
          <w:bCs/>
          <w:spacing w:val="0"/>
          <w:kern w:val="0"/>
          <w:sz w:val="28"/>
          <w:rtl/>
          <w14:ligatures w14:val="none"/>
        </w:rPr>
        <w:t>:</w:t>
      </w:r>
    </w:p>
    <w:p w:rsidR="00E61621" w:rsidRDefault="00E61621" w:rsidP="00E61621">
      <w:pPr>
        <w:pStyle w:val="Ruller4"/>
        <w:tabs>
          <w:tab w:val="left" w:pos="-6094"/>
        </w:tabs>
        <w:ind w:left="720" w:hanging="720"/>
        <w:rPr>
          <w:rFonts w:ascii="David" w:eastAsiaTheme="minorHAnsi" w:hAnsi="David" w:cs="David"/>
          <w:b/>
          <w:bCs/>
          <w:spacing w:val="0"/>
          <w:kern w:val="0"/>
          <w:sz w:val="28"/>
          <w:rtl/>
          <w14:ligatures w14:val="none"/>
        </w:rPr>
      </w:pPr>
    </w:p>
    <w:p w:rsidR="00E61621" w:rsidRDefault="00E61621" w:rsidP="00E61621">
      <w:pPr>
        <w:pStyle w:val="Ruller4"/>
        <w:tabs>
          <w:tab w:val="left" w:pos="-6094"/>
        </w:tabs>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26.</w:t>
      </w:r>
      <w:r>
        <w:rPr>
          <w:rFonts w:ascii="David" w:eastAsiaTheme="minorHAnsi" w:hAnsi="David" w:cs="David"/>
          <w:spacing w:val="0"/>
          <w:kern w:val="0"/>
          <w:sz w:val="24"/>
          <w:szCs w:val="24"/>
          <w:rtl/>
          <w14:ligatures w14:val="none"/>
        </w:rPr>
        <w:tab/>
        <w:t>בחינת בקשת הנתבעת לדחיית התביעה על הסף תיבחן בשני רבדים: האחד, האם יש להורות על מחיקת התביעה המקורית. תשובה זו יש בה כדי להקרין על הבקשה לתיקון התביעה. לו תמחק התביעה ממילא אין מקום להידרש להחלטה בעניין הבקשה לתיקון כתב התביעה שכן מחיקת התביעה גוררת גם את מחיקת הבקשה לתיקון כתב התביעה. משל לא תמחק התביעה המקורית או אז יש  להידרש לשאלה בדבר מחיקתה, אם בכלל,  לאור טיעוני הנתבעת הן באשר לתיקון/שינוי הסעד המבוקש והן ביחס לטענה בדבר הפורום הנכון לאור טיעוני התובע עצמו.</w:t>
      </w:r>
    </w:p>
    <w:p w:rsidR="00E61621" w:rsidRDefault="00E61621" w:rsidP="00E61621">
      <w:pPr>
        <w:pStyle w:val="Ruller4"/>
        <w:tabs>
          <w:tab w:val="left" w:pos="-6094"/>
        </w:tabs>
        <w:ind w:left="720" w:hanging="720"/>
        <w:rPr>
          <w:rFonts w:ascii="David" w:eastAsiaTheme="minorHAnsi" w:hAnsi="David" w:cs="David"/>
          <w:spacing w:val="0"/>
          <w:kern w:val="0"/>
          <w:sz w:val="24"/>
          <w:szCs w:val="24"/>
          <w:rtl/>
          <w14:ligatures w14:val="none"/>
        </w:rPr>
      </w:pPr>
    </w:p>
    <w:p w:rsidR="00E61621" w:rsidRDefault="00E61621" w:rsidP="00E61621">
      <w:pPr>
        <w:pStyle w:val="Ruller4"/>
        <w:tabs>
          <w:tab w:val="left" w:pos="-6094"/>
        </w:tabs>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27.</w:t>
      </w:r>
      <w:r>
        <w:rPr>
          <w:rFonts w:ascii="David" w:eastAsiaTheme="minorHAnsi" w:hAnsi="David" w:cs="David"/>
          <w:spacing w:val="0"/>
          <w:kern w:val="0"/>
          <w:sz w:val="24"/>
          <w:szCs w:val="24"/>
          <w:rtl/>
          <w14:ligatures w14:val="none"/>
        </w:rPr>
        <w:tab/>
        <w:t xml:space="preserve">דין התביעה המקורית להימחק. אין בסיס לטענת התובע והאבחנה של באת כוחו בדיון – בין היקף העיזבון לפגמים בצוואה וכהסברה שטענות התובע הן כלפי היקף העיזבון ולא כלפי הצוואה. </w:t>
      </w:r>
    </w:p>
    <w:p w:rsidR="00E61621" w:rsidRDefault="00E61621" w:rsidP="00E61621">
      <w:pPr>
        <w:pStyle w:val="Ruller4"/>
        <w:tabs>
          <w:tab w:val="left" w:pos="-6094"/>
        </w:tabs>
        <w:ind w:left="720" w:hanging="720"/>
        <w:rPr>
          <w:rFonts w:ascii="David" w:eastAsiaTheme="minorHAnsi" w:hAnsi="David" w:cs="David"/>
          <w:spacing w:val="0"/>
          <w:kern w:val="0"/>
          <w:sz w:val="24"/>
          <w:szCs w:val="24"/>
          <w:rtl/>
          <w14:ligatures w14:val="none"/>
        </w:rPr>
      </w:pPr>
    </w:p>
    <w:p w:rsidR="00E61621" w:rsidRDefault="00E61621" w:rsidP="00E61621">
      <w:pPr>
        <w:pStyle w:val="Ruller4"/>
        <w:tabs>
          <w:tab w:val="left" w:pos="-6094"/>
        </w:tabs>
        <w:ind w:left="793" w:hanging="851"/>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lastRenderedPageBreak/>
        <w:t>28.</w:t>
      </w:r>
      <w:r>
        <w:rPr>
          <w:rFonts w:ascii="David" w:eastAsiaTheme="minorHAnsi" w:hAnsi="David" w:cs="David"/>
          <w:spacing w:val="0"/>
          <w:kern w:val="0"/>
          <w:sz w:val="24"/>
          <w:szCs w:val="24"/>
          <w:rtl/>
          <w14:ligatures w14:val="none"/>
        </w:rPr>
        <w:tab/>
        <w:t>צו קיום צוואה כמו צו ירושה הוא פסק דין כלפי כולי עלמא. צו קיום הצוואה יוצר הכרעה סופית ומחייבת, אף אם נפלה בו שגגה והוא מוטעה (</w:t>
      </w:r>
      <w:proofErr w:type="spellStart"/>
      <w:r>
        <w:rPr>
          <w:rFonts w:ascii="David" w:eastAsiaTheme="minorHAnsi" w:hAnsi="David" w:cs="David"/>
          <w:spacing w:val="0"/>
          <w:kern w:val="0"/>
          <w:sz w:val="24"/>
          <w:szCs w:val="24"/>
          <w:u w:val="single"/>
          <w:rtl/>
          <w14:ligatures w14:val="none"/>
        </w:rPr>
        <w:t>עמ"ש</w:t>
      </w:r>
      <w:proofErr w:type="spellEnd"/>
      <w:r>
        <w:rPr>
          <w:rFonts w:ascii="David" w:eastAsiaTheme="minorHAnsi" w:hAnsi="David" w:cs="David"/>
          <w:spacing w:val="0"/>
          <w:kern w:val="0"/>
          <w:sz w:val="24"/>
          <w:szCs w:val="24"/>
          <w:u w:val="single"/>
          <w:rtl/>
          <w14:ligatures w14:val="none"/>
        </w:rPr>
        <w:t xml:space="preserve"> (ים) 28361-10-11</w:t>
      </w:r>
      <w:r>
        <w:rPr>
          <w:rFonts w:ascii="David" w:eastAsiaTheme="minorHAnsi" w:hAnsi="David" w:cs="David"/>
          <w:spacing w:val="0"/>
          <w:kern w:val="0"/>
          <w:sz w:val="24"/>
          <w:szCs w:val="24"/>
          <w:rtl/>
          <w14:ligatures w14:val="none"/>
        </w:rPr>
        <w:t xml:space="preserve">  </w:t>
      </w:r>
      <w:r>
        <w:rPr>
          <w:rFonts w:ascii="David" w:eastAsiaTheme="minorHAnsi" w:hAnsi="David" w:cs="David"/>
          <w:b/>
          <w:bCs/>
          <w:spacing w:val="0"/>
          <w:kern w:val="0"/>
          <w:sz w:val="24"/>
          <w:szCs w:val="24"/>
          <w:rtl/>
          <w14:ligatures w14:val="none"/>
        </w:rPr>
        <w:t xml:space="preserve">י.ג. </w:t>
      </w:r>
      <w:r>
        <w:rPr>
          <w:rFonts w:ascii="David" w:eastAsiaTheme="minorHAnsi" w:hAnsi="David" w:cs="David"/>
          <w:spacing w:val="0"/>
          <w:kern w:val="0"/>
          <w:sz w:val="24"/>
          <w:szCs w:val="24"/>
          <w:rtl/>
          <w14:ligatures w14:val="none"/>
        </w:rPr>
        <w:t xml:space="preserve">נ' </w:t>
      </w:r>
      <w:proofErr w:type="spellStart"/>
      <w:r>
        <w:rPr>
          <w:rFonts w:ascii="David" w:eastAsiaTheme="minorHAnsi" w:hAnsi="David" w:cs="David"/>
          <w:b/>
          <w:bCs/>
          <w:spacing w:val="0"/>
          <w:kern w:val="0"/>
          <w:sz w:val="24"/>
          <w:szCs w:val="24"/>
          <w:rtl/>
          <w14:ligatures w14:val="none"/>
        </w:rPr>
        <w:t>ר.מ</w:t>
      </w:r>
      <w:proofErr w:type="spellEnd"/>
      <w:r>
        <w:rPr>
          <w:rFonts w:ascii="David" w:eastAsiaTheme="minorHAnsi" w:hAnsi="David" w:cs="David"/>
          <w:b/>
          <w:bCs/>
          <w:spacing w:val="0"/>
          <w:kern w:val="0"/>
          <w:sz w:val="24"/>
          <w:szCs w:val="24"/>
          <w:rtl/>
          <w14:ligatures w14:val="none"/>
        </w:rPr>
        <w:t xml:space="preserve">. ועוד 6 אח' </w:t>
      </w:r>
      <w:r>
        <w:rPr>
          <w:rFonts w:ascii="David" w:eastAsiaTheme="minorHAnsi" w:hAnsi="David" w:cs="David"/>
          <w:spacing w:val="0"/>
          <w:kern w:val="0"/>
          <w:sz w:val="24"/>
          <w:szCs w:val="24"/>
          <w:rtl/>
          <w14:ligatures w14:val="none"/>
        </w:rPr>
        <w:t xml:space="preserve">(29/01/2012)). </w:t>
      </w:r>
    </w:p>
    <w:p w:rsidR="00E61621" w:rsidRDefault="00E61621" w:rsidP="00E61621">
      <w:pPr>
        <w:pStyle w:val="Ruller4"/>
        <w:tabs>
          <w:tab w:val="left" w:pos="-6094"/>
        </w:tabs>
        <w:ind w:left="793" w:hanging="851"/>
        <w:rPr>
          <w:rFonts w:ascii="David" w:eastAsiaTheme="minorHAnsi" w:hAnsi="David" w:cs="David"/>
          <w:spacing w:val="0"/>
          <w:kern w:val="0"/>
          <w:sz w:val="24"/>
          <w:szCs w:val="24"/>
          <w:rtl/>
          <w14:ligatures w14:val="none"/>
        </w:rPr>
      </w:pPr>
    </w:p>
    <w:p w:rsidR="00E61621" w:rsidRDefault="00E61621" w:rsidP="00E61621">
      <w:pPr>
        <w:pStyle w:val="Ruller4"/>
        <w:tabs>
          <w:tab w:val="left" w:pos="-6094"/>
        </w:tabs>
        <w:ind w:left="793" w:hanging="851"/>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ab/>
        <w:t>דומה שאין צורך להכביר מילים על עקרון הנפילה המידי "</w:t>
      </w:r>
      <w:r>
        <w:rPr>
          <w:rFonts w:ascii="David" w:eastAsiaTheme="minorHAnsi" w:hAnsi="David" w:cs="David"/>
          <w:b/>
          <w:bCs/>
          <w:spacing w:val="0"/>
          <w:kern w:val="0"/>
          <w:sz w:val="24"/>
          <w:szCs w:val="24"/>
          <w:rtl/>
          <w14:ligatures w14:val="none"/>
        </w:rPr>
        <w:t>מעבר העיזבון-הן על פי דין והן על פי צוואה-הוא מיידי ואוטומטי.</w:t>
      </w:r>
      <w:r>
        <w:rPr>
          <w:rFonts w:ascii="David" w:eastAsiaTheme="minorHAnsi" w:hAnsi="David" w:cs="David"/>
          <w:spacing w:val="0"/>
          <w:kern w:val="0"/>
          <w:sz w:val="24"/>
          <w:szCs w:val="24"/>
          <w:rtl/>
          <w14:ligatures w14:val="none"/>
        </w:rPr>
        <w:t xml:space="preserve"> </w:t>
      </w:r>
      <w:r>
        <w:rPr>
          <w:rFonts w:ascii="David" w:eastAsiaTheme="minorHAnsi" w:hAnsi="David" w:cs="David"/>
          <w:b/>
          <w:bCs/>
          <w:spacing w:val="0"/>
          <w:kern w:val="0"/>
          <w:sz w:val="24"/>
          <w:szCs w:val="24"/>
          <w:rtl/>
          <w14:ligatures w14:val="none"/>
        </w:rPr>
        <w:t xml:space="preserve">במילים אחרות, ברגע המוות הופכים היורשים לבעלים של נכסי המת ללא כל שהות בין רגע המוות לבין הפיכתם לבעלים. </w:t>
      </w:r>
      <w:r>
        <w:rPr>
          <w:rFonts w:ascii="David" w:eastAsiaTheme="minorHAnsi" w:hAnsi="David" w:cs="David"/>
          <w:spacing w:val="0"/>
          <w:kern w:val="0"/>
          <w:sz w:val="24"/>
          <w:szCs w:val="24"/>
          <w:rtl/>
          <w14:ligatures w14:val="none"/>
        </w:rPr>
        <w:t>...</w:t>
      </w:r>
      <w:r>
        <w:rPr>
          <w:rFonts w:ascii="David" w:eastAsiaTheme="minorHAnsi" w:hAnsi="David" w:cs="David"/>
          <w:b/>
          <w:bCs/>
          <w:spacing w:val="0"/>
          <w:kern w:val="0"/>
          <w:sz w:val="24"/>
          <w:szCs w:val="24"/>
          <w:rtl/>
          <w14:ligatures w14:val="none"/>
        </w:rPr>
        <w:t xml:space="preserve">אין בעקרון זה כדי ללמדנו מי הם היורשים, מהו העיזבון וכיצד יחולק. בשלב הראשוני של הנפילה </w:t>
      </w:r>
      <w:proofErr w:type="spellStart"/>
      <w:r>
        <w:rPr>
          <w:rFonts w:ascii="David" w:eastAsiaTheme="minorHAnsi" w:hAnsi="David" w:cs="David"/>
          <w:b/>
          <w:bCs/>
          <w:spacing w:val="0"/>
          <w:kern w:val="0"/>
          <w:sz w:val="24"/>
          <w:szCs w:val="24"/>
          <w:rtl/>
          <w14:ligatures w14:val="none"/>
        </w:rPr>
        <w:t>המיידית</w:t>
      </w:r>
      <w:proofErr w:type="spellEnd"/>
      <w:r>
        <w:rPr>
          <w:rFonts w:ascii="David" w:eastAsiaTheme="minorHAnsi" w:hAnsi="David" w:cs="David"/>
          <w:b/>
          <w:bCs/>
          <w:spacing w:val="0"/>
          <w:kern w:val="0"/>
          <w:sz w:val="24"/>
          <w:szCs w:val="24"/>
          <w:rtl/>
          <w14:ligatures w14:val="none"/>
        </w:rPr>
        <w:t xml:space="preserve">, בעלות "היורשים" בעיזבון הינה ערטילאית במובן זה שהיורשים והעיזבון עדיין לא הוגדרו ונקבעו באורח מחייב. אולם בראייה רטרוספקטיבית-לאחר תום ההליכים השלבים הנוספים בהם נקבעים בפירוט היקף העיזבון זהות היורשים וחלקיהם בו- מתברר למפרע חלקו של כל יורש מרגע הנפילה </w:t>
      </w:r>
      <w:proofErr w:type="spellStart"/>
      <w:r>
        <w:rPr>
          <w:rFonts w:ascii="David" w:eastAsiaTheme="minorHAnsi" w:hAnsi="David" w:cs="David"/>
          <w:b/>
          <w:bCs/>
          <w:spacing w:val="0"/>
          <w:kern w:val="0"/>
          <w:sz w:val="24"/>
          <w:szCs w:val="24"/>
          <w:rtl/>
          <w14:ligatures w14:val="none"/>
        </w:rPr>
        <w:t>המיידית</w:t>
      </w:r>
      <w:proofErr w:type="spellEnd"/>
      <w:r>
        <w:rPr>
          <w:rFonts w:ascii="David" w:eastAsiaTheme="minorHAnsi" w:hAnsi="David" w:cs="David"/>
          <w:b/>
          <w:bCs/>
          <w:spacing w:val="0"/>
          <w:kern w:val="0"/>
          <w:sz w:val="24"/>
          <w:szCs w:val="24"/>
          <w:rtl/>
          <w14:ligatures w14:val="none"/>
        </w:rPr>
        <w:t xml:space="preserve"> הדברים האלה נקבעים בצו ירושה או צו קיום צוואה על פי סעיף 66</w:t>
      </w:r>
      <w:r>
        <w:rPr>
          <w:rFonts w:ascii="David" w:eastAsiaTheme="minorHAnsi" w:hAnsi="David" w:cs="David"/>
          <w:spacing w:val="0"/>
          <w:kern w:val="0"/>
          <w:sz w:val="24"/>
          <w:szCs w:val="24"/>
          <w:rtl/>
          <w14:ligatures w14:val="none"/>
        </w:rPr>
        <w:t xml:space="preserve">" (שמואל שילה </w:t>
      </w:r>
      <w:r>
        <w:rPr>
          <w:rFonts w:ascii="David" w:eastAsiaTheme="minorHAnsi" w:hAnsi="David" w:cs="David"/>
          <w:b/>
          <w:bCs/>
          <w:spacing w:val="0"/>
          <w:kern w:val="0"/>
          <w:sz w:val="24"/>
          <w:szCs w:val="24"/>
          <w:rtl/>
          <w14:ligatures w14:val="none"/>
        </w:rPr>
        <w:t>פירוש לחוק הירושה</w:t>
      </w:r>
      <w:r>
        <w:rPr>
          <w:rFonts w:ascii="David" w:eastAsiaTheme="minorHAnsi" w:hAnsi="David" w:cs="David"/>
          <w:spacing w:val="0"/>
          <w:kern w:val="0"/>
          <w:sz w:val="24"/>
          <w:szCs w:val="24"/>
          <w:rtl/>
          <w14:ligatures w14:val="none"/>
        </w:rPr>
        <w:t xml:space="preserve">  תשכ"ה-1965 (1995).</w:t>
      </w:r>
    </w:p>
    <w:p w:rsidR="00E61621" w:rsidRDefault="00E61621" w:rsidP="00E61621">
      <w:pPr>
        <w:pStyle w:val="Ruller4"/>
        <w:rPr>
          <w:rFonts w:ascii="David" w:eastAsiaTheme="minorHAnsi" w:hAnsi="David" w:cs="David"/>
          <w:spacing w:val="0"/>
          <w:kern w:val="0"/>
          <w:sz w:val="24"/>
          <w:szCs w:val="24"/>
          <w14:ligatures w14:val="none"/>
        </w:rPr>
      </w:pPr>
    </w:p>
    <w:p w:rsidR="00E61621" w:rsidRDefault="00E61621" w:rsidP="00E61621">
      <w:pPr>
        <w:pStyle w:val="Ruller4"/>
        <w:tabs>
          <w:tab w:val="left" w:pos="720"/>
        </w:tabs>
        <w:ind w:left="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w:t>
      </w:r>
      <w:r>
        <w:rPr>
          <w:rFonts w:ascii="David" w:eastAsiaTheme="minorHAnsi" w:hAnsi="David" w:cs="David"/>
          <w:b/>
          <w:bCs/>
          <w:spacing w:val="0"/>
          <w:kern w:val="0"/>
          <w:sz w:val="24"/>
          <w:szCs w:val="24"/>
          <w:rtl/>
          <w14:ligatures w14:val="none"/>
        </w:rPr>
        <w:t>צו הירושה הינו דקלרטיבי, כלומר, אינו יוצר זכויות אלא מצהיר על זהות היורשים ועל חלקו היחסי של כל אחד מהם בעיזבון (סעיף 69(א) לחוק</w:t>
      </w:r>
      <w:r>
        <w:rPr>
          <w:rFonts w:ascii="David" w:eastAsiaTheme="minorHAnsi" w:hAnsi="David" w:cs="David"/>
          <w:spacing w:val="0"/>
          <w:kern w:val="0"/>
          <w:sz w:val="24"/>
          <w:szCs w:val="24"/>
          <w:rtl/>
          <w14:ligatures w14:val="none"/>
        </w:rPr>
        <w:t xml:space="preserve">; ... </w:t>
      </w:r>
      <w:r>
        <w:rPr>
          <w:rFonts w:ascii="David" w:eastAsiaTheme="minorHAnsi" w:hAnsi="David" w:cs="David"/>
          <w:b/>
          <w:bCs/>
          <w:spacing w:val="0"/>
          <w:kern w:val="0"/>
          <w:sz w:val="24"/>
          <w:szCs w:val="24"/>
          <w:rtl/>
          <w14:ligatures w14:val="none"/>
        </w:rPr>
        <w:t>כך גם צו קיום צוואה מצהיר כי הצוואה שהותיר אחריו המנוח היא בת תוקף, חוץ מהוראות שבית המשפט מצא כי הן בטלות (סעיף 69(ב) לחוק)"</w:t>
      </w:r>
      <w:r>
        <w:rPr>
          <w:rFonts w:ascii="David" w:eastAsiaTheme="minorHAnsi" w:hAnsi="David" w:cs="David"/>
          <w:spacing w:val="0"/>
          <w:kern w:val="0"/>
          <w:sz w:val="24"/>
          <w:szCs w:val="24"/>
          <w:rtl/>
          <w14:ligatures w14:val="none"/>
        </w:rPr>
        <w:t xml:space="preserve"> (שאול שוחט, נחום </w:t>
      </w:r>
      <w:proofErr w:type="spellStart"/>
      <w:r>
        <w:rPr>
          <w:rFonts w:ascii="David" w:eastAsiaTheme="minorHAnsi" w:hAnsi="David" w:cs="David"/>
          <w:spacing w:val="0"/>
          <w:kern w:val="0"/>
          <w:sz w:val="24"/>
          <w:szCs w:val="24"/>
          <w:rtl/>
          <w14:ligatures w14:val="none"/>
        </w:rPr>
        <w:t>פינברג</w:t>
      </w:r>
      <w:proofErr w:type="spellEnd"/>
      <w:r>
        <w:rPr>
          <w:rFonts w:ascii="David" w:eastAsiaTheme="minorHAnsi" w:hAnsi="David" w:cs="David"/>
          <w:spacing w:val="0"/>
          <w:kern w:val="0"/>
          <w:sz w:val="24"/>
          <w:szCs w:val="24"/>
          <w:rtl/>
          <w14:ligatures w14:val="none"/>
        </w:rPr>
        <w:t xml:space="preserve">, יחזקאל </w:t>
      </w:r>
      <w:proofErr w:type="spellStart"/>
      <w:r>
        <w:rPr>
          <w:rFonts w:ascii="David" w:eastAsiaTheme="minorHAnsi" w:hAnsi="David" w:cs="David"/>
          <w:spacing w:val="0"/>
          <w:kern w:val="0"/>
          <w:sz w:val="24"/>
          <w:szCs w:val="24"/>
          <w:rtl/>
          <w14:ligatures w14:val="none"/>
        </w:rPr>
        <w:t>פלומין</w:t>
      </w:r>
      <w:proofErr w:type="spellEnd"/>
      <w:r>
        <w:rPr>
          <w:rFonts w:ascii="David" w:eastAsiaTheme="minorHAnsi" w:hAnsi="David" w:cs="David"/>
          <w:spacing w:val="0"/>
          <w:kern w:val="0"/>
          <w:sz w:val="24"/>
          <w:szCs w:val="24"/>
          <w:rtl/>
          <w14:ligatures w14:val="none"/>
        </w:rPr>
        <w:t xml:space="preserve"> </w:t>
      </w:r>
      <w:r>
        <w:rPr>
          <w:rFonts w:ascii="David" w:eastAsiaTheme="minorHAnsi" w:hAnsi="David" w:cs="David"/>
          <w:spacing w:val="0"/>
          <w:kern w:val="0"/>
          <w:sz w:val="24"/>
          <w:szCs w:val="24"/>
          <w:u w:val="single"/>
          <w:rtl/>
          <w14:ligatures w14:val="none"/>
        </w:rPr>
        <w:t>דיני</w:t>
      </w:r>
      <w:r>
        <w:rPr>
          <w:rFonts w:ascii="David" w:eastAsiaTheme="minorHAnsi" w:hAnsi="David" w:cs="David"/>
          <w:spacing w:val="0"/>
          <w:kern w:val="0"/>
          <w:sz w:val="24"/>
          <w:szCs w:val="24"/>
          <w:rtl/>
          <w14:ligatures w14:val="none"/>
        </w:rPr>
        <w:t xml:space="preserve"> </w:t>
      </w:r>
      <w:r>
        <w:rPr>
          <w:rFonts w:ascii="David" w:eastAsiaTheme="minorHAnsi" w:hAnsi="David" w:cs="David"/>
          <w:spacing w:val="0"/>
          <w:kern w:val="0"/>
          <w:sz w:val="24"/>
          <w:szCs w:val="24"/>
          <w:u w:val="single"/>
          <w:rtl/>
          <w14:ligatures w14:val="none"/>
        </w:rPr>
        <w:t>ירושה ועיזבון</w:t>
      </w:r>
      <w:r>
        <w:rPr>
          <w:rFonts w:ascii="David" w:eastAsiaTheme="minorHAnsi" w:hAnsi="David" w:cs="David"/>
          <w:spacing w:val="0"/>
          <w:kern w:val="0"/>
          <w:sz w:val="24"/>
          <w:szCs w:val="24"/>
          <w:rtl/>
          <w14:ligatures w14:val="none"/>
        </w:rPr>
        <w:t xml:space="preserve">  (2014) להלן- </w:t>
      </w:r>
      <w:r>
        <w:rPr>
          <w:rFonts w:ascii="Miriam" w:eastAsiaTheme="minorHAnsi" w:hAnsi="Miriam" w:cs="Miriam"/>
          <w:b/>
          <w:bCs/>
          <w:spacing w:val="0"/>
          <w:kern w:val="0"/>
          <w:sz w:val="24"/>
          <w:szCs w:val="24"/>
          <w:rtl/>
          <w14:ligatures w14:val="none"/>
        </w:rPr>
        <w:t xml:space="preserve">שוחט </w:t>
      </w:r>
      <w:proofErr w:type="spellStart"/>
      <w:r>
        <w:rPr>
          <w:rFonts w:ascii="Miriam" w:eastAsiaTheme="minorHAnsi" w:hAnsi="Miriam" w:cs="Miriam"/>
          <w:b/>
          <w:bCs/>
          <w:spacing w:val="0"/>
          <w:kern w:val="0"/>
          <w:sz w:val="24"/>
          <w:szCs w:val="24"/>
          <w:rtl/>
          <w14:ligatures w14:val="none"/>
        </w:rPr>
        <w:t>פינברג</w:t>
      </w:r>
      <w:proofErr w:type="spellEnd"/>
      <w:r>
        <w:rPr>
          <w:rFonts w:ascii="Miriam" w:eastAsiaTheme="minorHAnsi" w:hAnsi="Miriam" w:cs="Miriam"/>
          <w:b/>
          <w:bCs/>
          <w:spacing w:val="0"/>
          <w:kern w:val="0"/>
          <w:sz w:val="24"/>
          <w:szCs w:val="24"/>
          <w:rtl/>
          <w14:ligatures w14:val="none"/>
        </w:rPr>
        <w:t xml:space="preserve"> </w:t>
      </w:r>
      <w:proofErr w:type="spellStart"/>
      <w:r>
        <w:rPr>
          <w:rFonts w:ascii="Miriam" w:eastAsiaTheme="minorHAnsi" w:hAnsi="Miriam" w:cs="Miriam"/>
          <w:b/>
          <w:bCs/>
          <w:spacing w:val="0"/>
          <w:kern w:val="0"/>
          <w:sz w:val="24"/>
          <w:szCs w:val="24"/>
          <w:rtl/>
          <w14:ligatures w14:val="none"/>
        </w:rPr>
        <w:t>ופלומין</w:t>
      </w:r>
      <w:proofErr w:type="spellEnd"/>
      <w:r>
        <w:rPr>
          <w:rFonts w:ascii="David" w:eastAsiaTheme="minorHAnsi" w:hAnsi="David" w:cs="David"/>
          <w:spacing w:val="0"/>
          <w:kern w:val="0"/>
          <w:sz w:val="24"/>
          <w:szCs w:val="24"/>
          <w:rtl/>
          <w14:ligatures w14:val="none"/>
        </w:rPr>
        <w:t>) עמ' 6).</w:t>
      </w:r>
    </w:p>
    <w:p w:rsidR="00E61621" w:rsidRDefault="00E61621" w:rsidP="00E61621">
      <w:pPr>
        <w:pStyle w:val="Ruller4"/>
        <w:tabs>
          <w:tab w:val="left" w:pos="720"/>
        </w:tabs>
        <w:ind w:left="84"/>
        <w:rPr>
          <w:rFonts w:ascii="David" w:eastAsiaTheme="minorHAnsi" w:hAnsi="David" w:cs="David"/>
          <w:spacing w:val="0"/>
          <w:kern w:val="0"/>
          <w:sz w:val="24"/>
          <w:szCs w:val="24"/>
          <w:rtl/>
          <w14:ligatures w14:val="none"/>
        </w:rPr>
      </w:pPr>
    </w:p>
    <w:p w:rsidR="00E61621" w:rsidRDefault="00E61621" w:rsidP="00E61621">
      <w:pPr>
        <w:pStyle w:val="Ruller4"/>
        <w:tabs>
          <w:tab w:val="left" w:pos="720"/>
        </w:tabs>
        <w:ind w:left="714" w:hanging="63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29.</w:t>
      </w:r>
      <w:r>
        <w:rPr>
          <w:rFonts w:ascii="David" w:eastAsiaTheme="minorHAnsi" w:hAnsi="David" w:cs="David"/>
          <w:spacing w:val="0"/>
          <w:kern w:val="0"/>
          <w:sz w:val="24"/>
          <w:szCs w:val="24"/>
          <w:rtl/>
          <w14:ligatures w14:val="none"/>
        </w:rPr>
        <w:tab/>
        <w:t>לעת הזו יש פסק דין. צו קיום הצוואה שריר וקיים. הצו קובע שכל עיזבונה של המנוחה ובכלל זה הדירות הורשו על ידי המנוחה לנתבעת. "</w:t>
      </w:r>
      <w:r>
        <w:rPr>
          <w:rFonts w:ascii="David" w:eastAsiaTheme="minorHAnsi" w:hAnsi="David" w:cs="David"/>
          <w:b/>
          <w:bCs/>
          <w:spacing w:val="0"/>
          <w:kern w:val="0"/>
          <w:sz w:val="24"/>
          <w:szCs w:val="24"/>
          <w:rtl/>
          <w14:ligatures w14:val="none"/>
        </w:rPr>
        <w:t xml:space="preserve">צו קיום כזה אינו בטל מעיקרו, אלא אך ניתן לביטול בדרך של בקשה לתיקון או ביטול צו קיום הצוואה, בהתאם לתנאים הקבועים </w:t>
      </w:r>
      <w:r>
        <w:rPr>
          <w:rFonts w:ascii="David" w:eastAsiaTheme="minorHAnsi" w:hAnsi="David" w:cs="David"/>
          <w:b/>
          <w:bCs/>
          <w:spacing w:val="0"/>
          <w:kern w:val="0"/>
          <w:sz w:val="24"/>
          <w:szCs w:val="24"/>
          <w:u w:val="single"/>
          <w:rtl/>
          <w14:ligatures w14:val="none"/>
        </w:rPr>
        <w:t xml:space="preserve">בסעיף 72 </w:t>
      </w:r>
      <w:r>
        <w:rPr>
          <w:rFonts w:ascii="David" w:eastAsiaTheme="minorHAnsi" w:hAnsi="David" w:cs="David"/>
          <w:b/>
          <w:bCs/>
          <w:spacing w:val="0"/>
          <w:kern w:val="0"/>
          <w:sz w:val="24"/>
          <w:szCs w:val="24"/>
          <w:rtl/>
          <w14:ligatures w14:val="none"/>
        </w:rPr>
        <w:t xml:space="preserve"> לחוק או בדרך של ערעור</w:t>
      </w:r>
      <w:r>
        <w:rPr>
          <w:rFonts w:ascii="David" w:eastAsiaTheme="minorHAnsi" w:hAnsi="David" w:cs="David"/>
          <w:spacing w:val="0"/>
          <w:kern w:val="0"/>
          <w:sz w:val="24"/>
          <w:szCs w:val="24"/>
          <w:rtl/>
          <w14:ligatures w14:val="none"/>
        </w:rPr>
        <w:t xml:space="preserve">" (הדגש בקו תחתי במקור) עניין י.ג. הנ"ל עמ' 5 ). </w:t>
      </w:r>
    </w:p>
    <w:p w:rsidR="00E61621" w:rsidRDefault="00E61621" w:rsidP="00E61621">
      <w:pPr>
        <w:pStyle w:val="Ruller4"/>
        <w:tabs>
          <w:tab w:val="left" w:pos="720"/>
        </w:tabs>
        <w:ind w:left="714" w:hanging="630"/>
        <w:rPr>
          <w:rFonts w:ascii="David" w:eastAsiaTheme="minorHAnsi" w:hAnsi="David" w:cs="David"/>
          <w:spacing w:val="0"/>
          <w:kern w:val="0"/>
          <w:sz w:val="24"/>
          <w:szCs w:val="24"/>
          <w:rtl/>
          <w14:ligatures w14:val="none"/>
        </w:rPr>
      </w:pPr>
    </w:p>
    <w:p w:rsidR="00E61621" w:rsidRDefault="004C321D" w:rsidP="00E61621">
      <w:pPr>
        <w:pStyle w:val="Ruller4"/>
        <w:tabs>
          <w:tab w:val="left" w:pos="720"/>
        </w:tabs>
        <w:ind w:left="714" w:hanging="63"/>
        <w:rPr>
          <w:rFonts w:ascii="David" w:hAnsi="David" w:cs="David"/>
          <w:sz w:val="24"/>
          <w:szCs w:val="24"/>
          <w:rtl/>
        </w:rPr>
      </w:pPr>
      <w:hyperlink r:id="rId5" w:history="1">
        <w:r w:rsidR="00E61621">
          <w:rPr>
            <w:rStyle w:val="Hyperlink"/>
            <w:rFonts w:ascii="David" w:eastAsiaTheme="minorHAnsi" w:hAnsi="David" w:cs="David"/>
            <w:spacing w:val="0"/>
            <w:kern w:val="0"/>
            <w:sz w:val="24"/>
            <w:szCs w:val="24"/>
            <w:rtl/>
            <w14:ligatures w14:val="none"/>
          </w:rPr>
          <w:t>סעיף 72(א)</w:t>
        </w:r>
      </w:hyperlink>
      <w:r w:rsidR="00E61621">
        <w:rPr>
          <w:rFonts w:ascii="David" w:eastAsiaTheme="minorHAnsi" w:hAnsi="David" w:cs="David"/>
          <w:spacing w:val="0"/>
          <w:kern w:val="0"/>
          <w:sz w:val="24"/>
          <w:szCs w:val="24"/>
          <w:rtl/>
          <w14:ligatures w14:val="none"/>
        </w:rPr>
        <w:t xml:space="preserve"> לחוק הירושה קובע כי</w:t>
      </w:r>
      <w:r w:rsidR="00E61621">
        <w:rPr>
          <w:rFonts w:ascii="David" w:hAnsi="David" w:cs="David"/>
          <w:sz w:val="24"/>
          <w:szCs w:val="24"/>
          <w:rtl/>
        </w:rPr>
        <w:t xml:space="preserve">: </w:t>
      </w:r>
    </w:p>
    <w:p w:rsidR="00E61621" w:rsidRDefault="00E61621" w:rsidP="00E61621">
      <w:pPr>
        <w:pStyle w:val="Ruller4"/>
        <w:tabs>
          <w:tab w:val="left" w:pos="720"/>
        </w:tabs>
        <w:ind w:left="714" w:hanging="630"/>
        <w:rPr>
          <w:rFonts w:ascii="David" w:hAnsi="David" w:cs="David"/>
          <w:sz w:val="24"/>
          <w:szCs w:val="24"/>
          <w:rtl/>
        </w:rPr>
      </w:pPr>
    </w:p>
    <w:p w:rsidR="00E61621" w:rsidRDefault="00E61621" w:rsidP="00E61621">
      <w:pPr>
        <w:spacing w:line="360" w:lineRule="auto"/>
        <w:ind w:left="651"/>
        <w:jc w:val="both"/>
        <w:rPr>
          <w:rFonts w:ascii="David" w:hAnsi="David"/>
          <w:b/>
          <w:bCs/>
          <w:rtl/>
        </w:rPr>
      </w:pPr>
      <w:r>
        <w:rPr>
          <w:rFonts w:ascii="David" w:hAnsi="David"/>
          <w:b/>
          <w:bCs/>
          <w:rtl/>
        </w:rPr>
        <w:t xml:space="preserve">"נתן רשם לעניני ירושה או בית משפט צו ירושה או צו קיום, רשאי כל אחד מהם, לגבי צווים שנתן, לפי בקשת מעוניין בדבר, לתקנם או לבטלם על סמך עובדות או טענות שלא היו בפניו בזמן מתן הצו; ואולם ראה רשם לעניני ירושה שלא להיזקק לעובדה או לטענה שהמבקש יכול היה להביאה לפני מתן הצו, או שיכול היה להביאה לאחר מכן ולא עשה כן בהזדמנות הסבירה הראשונה, יעביר את הבקשה לבית המשפט". </w:t>
      </w:r>
    </w:p>
    <w:p w:rsidR="00E61621" w:rsidRDefault="00E61621" w:rsidP="00E61621">
      <w:pPr>
        <w:spacing w:line="360" w:lineRule="auto"/>
        <w:ind w:left="651"/>
        <w:jc w:val="both"/>
        <w:rPr>
          <w:rFonts w:ascii="David" w:hAnsi="David"/>
          <w:b/>
          <w:bCs/>
          <w:rtl/>
        </w:rPr>
      </w:pPr>
    </w:p>
    <w:p w:rsidR="00E61621" w:rsidRDefault="00E61621" w:rsidP="00E61621">
      <w:pPr>
        <w:spacing w:line="360" w:lineRule="auto"/>
        <w:ind w:left="651" w:hanging="567"/>
        <w:jc w:val="both"/>
        <w:rPr>
          <w:rFonts w:ascii="David" w:hAnsi="David"/>
          <w:rtl/>
        </w:rPr>
      </w:pPr>
      <w:r>
        <w:rPr>
          <w:rFonts w:ascii="David" w:hAnsi="David"/>
          <w:rtl/>
        </w:rPr>
        <w:t>30.</w:t>
      </w:r>
      <w:r>
        <w:rPr>
          <w:rFonts w:ascii="David" w:hAnsi="David"/>
          <w:rtl/>
        </w:rPr>
        <w:tab/>
        <w:t xml:space="preserve">אמור מעתה שהדרך של התובע לתקוף את פסק הדין, צו קיום הצוואה היא על פי סעיף 72 לחוק הירושה. הטענה שהתובע מבקש לדון  רק בהיקף העיזבון ולא בצוואה עצמה היא טענה שלא יכולה להתקבל (השוו עם הבקשה לעיון בתיק שהוגשה ע"י התובע ונוסחה הובא לעיל בסעיף). היקף העיזבון על פי צו הקיום משקף אותו אלא אם נקבע אחרת ולעת הזו </w:t>
      </w:r>
      <w:r>
        <w:rPr>
          <w:rFonts w:ascii="David" w:hAnsi="David"/>
          <w:rtl/>
        </w:rPr>
        <w:lastRenderedPageBreak/>
        <w:t xml:space="preserve">כולל את הדירות. בפועל התובע מבקש לשנות את צו הקיום שניתן על ידי התביעה. התביעה מבקשת להוציא מחזקת העיזבון על פי צוו הקיום, את זכויות המנוחה בשתי הדירות באילת מבלי לשנות את צו הקיום. </w:t>
      </w:r>
    </w:p>
    <w:p w:rsidR="00E61621" w:rsidRDefault="00E61621" w:rsidP="00E61621">
      <w:pPr>
        <w:spacing w:line="360" w:lineRule="auto"/>
        <w:ind w:left="651" w:hanging="567"/>
        <w:jc w:val="both"/>
        <w:rPr>
          <w:rFonts w:ascii="David" w:hAnsi="David"/>
          <w:rtl/>
        </w:rPr>
      </w:pPr>
    </w:p>
    <w:p w:rsidR="00E61621" w:rsidRDefault="00E61621" w:rsidP="00E61621">
      <w:pPr>
        <w:spacing w:line="360" w:lineRule="auto"/>
        <w:ind w:left="651" w:hanging="567"/>
        <w:jc w:val="both"/>
        <w:rPr>
          <w:rFonts w:ascii="David" w:hAnsi="David"/>
          <w:rtl/>
        </w:rPr>
      </w:pPr>
      <w:r>
        <w:rPr>
          <w:rFonts w:ascii="David" w:hAnsi="David"/>
          <w:rtl/>
        </w:rPr>
        <w:t>31.</w:t>
      </w:r>
      <w:r>
        <w:rPr>
          <w:rFonts w:ascii="David" w:hAnsi="David"/>
          <w:rtl/>
        </w:rPr>
        <w:tab/>
        <w:t xml:space="preserve">ער אני לקביעה שמדובר ב"שתי מלכויות". היקף העיזבון אינו נקבע על ידי חוק הירושה אלא על פי הדינים הכללים (שוחט פינברג ופלומין, </w:t>
      </w:r>
      <w:r>
        <w:rPr>
          <w:rFonts w:ascii="David" w:hAnsi="David"/>
          <w:u w:val="single"/>
          <w:rtl/>
        </w:rPr>
        <w:t>שם</w:t>
      </w:r>
      <w:r>
        <w:rPr>
          <w:rFonts w:ascii="David" w:hAnsi="David"/>
          <w:rtl/>
        </w:rPr>
        <w:t xml:space="preserve">). ברם, דווקא מטעם זה היה על התובע לנקוט בתביעה לביטול צו קיום הצוואה על פי סעיף 72 לחוק הירושה ולאחר מכן ככל שיצלח משוכה זו לנהל את תביעתו ביחס להיקף העיזבון על פי הדינים הכללים. </w:t>
      </w:r>
    </w:p>
    <w:p w:rsidR="00E61621" w:rsidRDefault="00E61621" w:rsidP="00E61621">
      <w:pPr>
        <w:spacing w:line="360" w:lineRule="auto"/>
        <w:ind w:left="651" w:hanging="567"/>
        <w:jc w:val="both"/>
        <w:rPr>
          <w:rFonts w:ascii="David" w:hAnsi="David"/>
          <w:rtl/>
        </w:rPr>
      </w:pPr>
    </w:p>
    <w:p w:rsidR="00E61621" w:rsidRDefault="00E61621" w:rsidP="00E61621">
      <w:pPr>
        <w:spacing w:line="360" w:lineRule="auto"/>
        <w:ind w:left="651"/>
        <w:jc w:val="both"/>
        <w:rPr>
          <w:rFonts w:ascii="David" w:hAnsi="David"/>
          <w:rtl/>
        </w:rPr>
      </w:pPr>
      <w:r>
        <w:rPr>
          <w:rFonts w:ascii="David" w:hAnsi="David"/>
          <w:rtl/>
        </w:rPr>
        <w:t xml:space="preserve">השעטנז שבהשארת צו קיום הצוואה על כנו וניהול הליך מקביל על הוצאת רכוש מתוך מסת הנכסים שלעת הזו, בתיק זה, הם נכסי העיזבון עומד בסתירה לחוק הירושה כאמור. </w:t>
      </w:r>
    </w:p>
    <w:p w:rsidR="00E61621" w:rsidRDefault="00E61621" w:rsidP="00E61621">
      <w:pPr>
        <w:spacing w:line="360" w:lineRule="auto"/>
        <w:ind w:left="651"/>
        <w:jc w:val="both"/>
        <w:rPr>
          <w:rFonts w:ascii="David" w:hAnsi="David"/>
          <w:rtl/>
        </w:rPr>
      </w:pPr>
    </w:p>
    <w:p w:rsidR="00E61621" w:rsidRDefault="00E61621" w:rsidP="00E61621">
      <w:pPr>
        <w:spacing w:line="360" w:lineRule="auto"/>
        <w:ind w:left="651" w:hanging="567"/>
        <w:jc w:val="both"/>
        <w:rPr>
          <w:rFonts w:ascii="David" w:hAnsi="David"/>
          <w:rtl/>
        </w:rPr>
      </w:pPr>
      <w:r>
        <w:rPr>
          <w:rFonts w:ascii="David" w:hAnsi="David"/>
          <w:rtl/>
        </w:rPr>
        <w:t>32.</w:t>
      </w:r>
      <w:r>
        <w:rPr>
          <w:rFonts w:ascii="David" w:hAnsi="David"/>
          <w:rtl/>
        </w:rPr>
        <w:tab/>
        <w:t xml:space="preserve">לא מצאתי להרחיב בשאלות העולות הן מכתב התביעה והן מהבקשה לתיקונה, אף לא למעלה מהצורך. אלו ייבחנו בהליך מתאים ככל שיבחר התובע להגיש תביעה כאמור ויעבור את המשוכות הקבועות לעניין זה בסעיף 72 לחוק הירושה. </w:t>
      </w:r>
    </w:p>
    <w:p w:rsidR="00E61621" w:rsidRDefault="00E61621" w:rsidP="00E61621">
      <w:pPr>
        <w:spacing w:line="360" w:lineRule="auto"/>
        <w:ind w:left="651" w:hanging="567"/>
        <w:jc w:val="both"/>
        <w:rPr>
          <w:rFonts w:ascii="David" w:hAnsi="David"/>
          <w:rtl/>
        </w:rPr>
      </w:pPr>
    </w:p>
    <w:p w:rsidR="00E61621" w:rsidRDefault="00E61621" w:rsidP="00E61621">
      <w:pPr>
        <w:spacing w:line="360" w:lineRule="auto"/>
        <w:ind w:left="651" w:hanging="567"/>
        <w:jc w:val="both"/>
        <w:rPr>
          <w:rFonts w:ascii="David" w:hAnsi="David"/>
          <w:rtl/>
        </w:rPr>
      </w:pPr>
    </w:p>
    <w:p w:rsidR="00E61621" w:rsidRDefault="00E61621" w:rsidP="00E61621">
      <w:pPr>
        <w:spacing w:line="360" w:lineRule="auto"/>
        <w:ind w:left="651" w:hanging="567"/>
        <w:jc w:val="both"/>
        <w:rPr>
          <w:rFonts w:ascii="David" w:hAnsi="David"/>
          <w:rtl/>
        </w:rPr>
      </w:pPr>
    </w:p>
    <w:p w:rsidR="00E61621" w:rsidRPr="00C744FD" w:rsidRDefault="00E61621" w:rsidP="00E61621">
      <w:pPr>
        <w:spacing w:line="360" w:lineRule="auto"/>
        <w:ind w:left="651" w:hanging="567"/>
        <w:jc w:val="both"/>
        <w:rPr>
          <w:rFonts w:ascii="David" w:hAnsi="David"/>
          <w:b/>
          <w:bCs/>
          <w:sz w:val="28"/>
          <w:szCs w:val="28"/>
          <w:u w:val="single"/>
          <w:rtl/>
        </w:rPr>
      </w:pPr>
      <w:r w:rsidRPr="00C744FD">
        <w:rPr>
          <w:rFonts w:ascii="David" w:hAnsi="David" w:hint="cs"/>
          <w:b/>
          <w:bCs/>
          <w:sz w:val="28"/>
          <w:szCs w:val="28"/>
          <w:u w:val="single"/>
          <w:rtl/>
        </w:rPr>
        <w:t>אחרית דבר</w:t>
      </w:r>
      <w:r w:rsidRPr="00C744FD">
        <w:rPr>
          <w:rFonts w:ascii="David" w:hAnsi="David" w:hint="cs"/>
          <w:b/>
          <w:bCs/>
          <w:sz w:val="28"/>
          <w:szCs w:val="28"/>
          <w:rtl/>
        </w:rPr>
        <w:t>:</w:t>
      </w:r>
    </w:p>
    <w:p w:rsidR="00E61621" w:rsidRDefault="00E61621" w:rsidP="00E61621">
      <w:pPr>
        <w:spacing w:line="360" w:lineRule="auto"/>
        <w:ind w:left="651" w:hanging="567"/>
        <w:jc w:val="both"/>
        <w:rPr>
          <w:rFonts w:ascii="David" w:hAnsi="David"/>
          <w:rtl/>
        </w:rPr>
      </w:pPr>
    </w:p>
    <w:p w:rsidR="00E61621" w:rsidRDefault="00E61621" w:rsidP="00E61621">
      <w:pPr>
        <w:spacing w:line="360" w:lineRule="auto"/>
        <w:ind w:left="651" w:hanging="567"/>
        <w:jc w:val="both"/>
        <w:rPr>
          <w:rFonts w:ascii="David" w:hAnsi="David"/>
          <w:rtl/>
        </w:rPr>
      </w:pPr>
      <w:r>
        <w:rPr>
          <w:rFonts w:ascii="David" w:hAnsi="David"/>
          <w:rtl/>
        </w:rPr>
        <w:t>33.</w:t>
      </w:r>
      <w:r>
        <w:rPr>
          <w:rFonts w:ascii="David" w:hAnsi="David"/>
          <w:rtl/>
        </w:rPr>
        <w:tab/>
        <w:t>לאור האמור אני מורה על מחיקת התביעה.</w:t>
      </w:r>
    </w:p>
    <w:p w:rsidR="00E61621" w:rsidRDefault="00E61621" w:rsidP="00E61621">
      <w:pPr>
        <w:spacing w:line="360" w:lineRule="auto"/>
        <w:ind w:left="651" w:hanging="567"/>
        <w:jc w:val="both"/>
        <w:rPr>
          <w:rFonts w:ascii="David" w:hAnsi="David"/>
          <w:rtl/>
        </w:rPr>
      </w:pPr>
    </w:p>
    <w:p w:rsidR="00E61621" w:rsidRDefault="00E61621" w:rsidP="00E61621">
      <w:pPr>
        <w:spacing w:line="360" w:lineRule="auto"/>
        <w:ind w:left="651" w:hanging="567"/>
        <w:jc w:val="both"/>
        <w:rPr>
          <w:rFonts w:ascii="David" w:hAnsi="David"/>
          <w:rtl/>
        </w:rPr>
      </w:pPr>
      <w:r>
        <w:rPr>
          <w:rFonts w:ascii="David" w:hAnsi="David"/>
          <w:rtl/>
        </w:rPr>
        <w:t>34.</w:t>
      </w:r>
      <w:r>
        <w:rPr>
          <w:rFonts w:ascii="David" w:hAnsi="David"/>
          <w:rtl/>
        </w:rPr>
        <w:tab/>
        <w:t>משקבעתי זאת איני נדרש כלל להחליט בשאלה בדבר תיקון כתב התביעה.</w:t>
      </w:r>
    </w:p>
    <w:p w:rsidR="00E61621" w:rsidRDefault="00E61621" w:rsidP="00E61621">
      <w:pPr>
        <w:spacing w:line="360" w:lineRule="auto"/>
        <w:ind w:left="651" w:hanging="567"/>
        <w:jc w:val="both"/>
        <w:rPr>
          <w:rFonts w:ascii="David" w:hAnsi="David"/>
          <w:rtl/>
        </w:rPr>
      </w:pPr>
    </w:p>
    <w:p w:rsidR="00E61621" w:rsidRDefault="00E61621" w:rsidP="00E61621">
      <w:pPr>
        <w:spacing w:line="360" w:lineRule="auto"/>
        <w:ind w:left="651" w:hanging="567"/>
        <w:jc w:val="both"/>
        <w:rPr>
          <w:rFonts w:ascii="David" w:hAnsi="David"/>
          <w:rtl/>
        </w:rPr>
      </w:pPr>
      <w:r>
        <w:rPr>
          <w:rFonts w:ascii="David" w:hAnsi="David"/>
          <w:rtl/>
        </w:rPr>
        <w:t>35.</w:t>
      </w:r>
      <w:r>
        <w:rPr>
          <w:rFonts w:ascii="David" w:hAnsi="David"/>
          <w:rtl/>
        </w:rPr>
        <w:tab/>
        <w:t>אין במחיקה כדי להביע עמדה או קביעה ביחס לטענות מי מהצדדים לגופו של עניין.</w:t>
      </w:r>
    </w:p>
    <w:p w:rsidR="00E61621" w:rsidRDefault="00E61621" w:rsidP="00E61621">
      <w:pPr>
        <w:spacing w:line="360" w:lineRule="auto"/>
        <w:ind w:left="651" w:hanging="567"/>
        <w:jc w:val="both"/>
        <w:rPr>
          <w:rFonts w:ascii="David" w:hAnsi="David"/>
          <w:rtl/>
        </w:rPr>
      </w:pPr>
    </w:p>
    <w:p w:rsidR="00E61621" w:rsidRDefault="00E61621" w:rsidP="00E61621">
      <w:pPr>
        <w:spacing w:line="360" w:lineRule="auto"/>
        <w:ind w:left="651" w:hanging="567"/>
        <w:jc w:val="both"/>
        <w:rPr>
          <w:rFonts w:ascii="David" w:hAnsi="David"/>
          <w:rtl/>
        </w:rPr>
      </w:pPr>
      <w:r>
        <w:rPr>
          <w:rFonts w:ascii="David" w:hAnsi="David"/>
          <w:rtl/>
        </w:rPr>
        <w:t>36.</w:t>
      </w:r>
      <w:r>
        <w:rPr>
          <w:rFonts w:ascii="David" w:hAnsi="David"/>
          <w:rtl/>
        </w:rPr>
        <w:tab/>
        <w:t>התובע יישא בהוצאות הנתבעת  בסך 10,000 ₪ .</w:t>
      </w:r>
    </w:p>
    <w:p w:rsidR="00E61621" w:rsidRDefault="00E61621" w:rsidP="00E61621">
      <w:pPr>
        <w:spacing w:line="360" w:lineRule="auto"/>
        <w:ind w:left="651" w:hanging="567"/>
        <w:jc w:val="both"/>
        <w:rPr>
          <w:rFonts w:ascii="David" w:hAnsi="David"/>
          <w:rtl/>
        </w:rPr>
      </w:pPr>
    </w:p>
    <w:p w:rsidR="00E61621" w:rsidRDefault="00E61621" w:rsidP="00E61621">
      <w:pPr>
        <w:spacing w:line="360" w:lineRule="auto"/>
        <w:ind w:left="651" w:hanging="567"/>
        <w:jc w:val="both"/>
        <w:rPr>
          <w:rFonts w:ascii="David" w:hAnsi="David"/>
          <w:rtl/>
        </w:rPr>
      </w:pPr>
      <w:r>
        <w:rPr>
          <w:rFonts w:ascii="David" w:hAnsi="David"/>
          <w:rtl/>
        </w:rPr>
        <w:t>37.</w:t>
      </w:r>
      <w:r>
        <w:rPr>
          <w:rFonts w:ascii="David" w:hAnsi="David"/>
          <w:rtl/>
        </w:rPr>
        <w:tab/>
        <w:t>מתיר פרסום ההחלטה בהסתרת כל פרט מזהה.</w:t>
      </w:r>
    </w:p>
    <w:p w:rsidR="00E61621" w:rsidRDefault="00E61621" w:rsidP="00E61621">
      <w:pPr>
        <w:spacing w:line="360" w:lineRule="auto"/>
        <w:ind w:left="651" w:hanging="567"/>
        <w:jc w:val="both"/>
        <w:rPr>
          <w:rFonts w:ascii="David" w:hAnsi="David"/>
          <w:rtl/>
        </w:rPr>
      </w:pPr>
    </w:p>
    <w:p w:rsidR="00E61621" w:rsidRDefault="00E61621" w:rsidP="00E61621">
      <w:pPr>
        <w:spacing w:line="360" w:lineRule="auto"/>
        <w:ind w:left="651" w:hanging="567"/>
        <w:jc w:val="both"/>
        <w:rPr>
          <w:rFonts w:ascii="David" w:hAnsi="David"/>
          <w:rtl/>
        </w:rPr>
      </w:pPr>
      <w:r>
        <w:rPr>
          <w:rFonts w:ascii="David" w:hAnsi="David"/>
          <w:rtl/>
        </w:rPr>
        <w:t xml:space="preserve">38. </w:t>
      </w:r>
      <w:r>
        <w:rPr>
          <w:rFonts w:ascii="David" w:hAnsi="David"/>
          <w:rtl/>
        </w:rPr>
        <w:tab/>
        <w:t xml:space="preserve">תואיל המזכירות לשלוח ההחלטה לצדדים ולסגור את התיק. </w:t>
      </w:r>
    </w:p>
    <w:p w:rsidR="00E61621" w:rsidRDefault="00E61621" w:rsidP="00E61621">
      <w:pPr>
        <w:spacing w:line="360" w:lineRule="auto"/>
        <w:ind w:left="651" w:hanging="567"/>
        <w:jc w:val="both"/>
        <w:rPr>
          <w:rFonts w:ascii="David" w:hAnsi="David"/>
          <w:rtl/>
        </w:rPr>
      </w:pPr>
    </w:p>
    <w:p w:rsidR="00E61621" w:rsidRDefault="00E61621" w:rsidP="00E61621">
      <w:pPr>
        <w:pStyle w:val="Ruller4"/>
        <w:tabs>
          <w:tab w:val="left" w:pos="720"/>
        </w:tabs>
        <w:ind w:left="720"/>
        <w:rPr>
          <w:rFonts w:ascii="David" w:eastAsiaTheme="minorHAnsi" w:hAnsi="David" w:cs="David"/>
          <w:spacing w:val="0"/>
          <w:kern w:val="0"/>
          <w:sz w:val="24"/>
          <w:szCs w:val="24"/>
          <w:rtl/>
          <w14:ligatures w14:val="none"/>
        </w:rPr>
      </w:pPr>
    </w:p>
    <w:p w:rsidR="00E61621" w:rsidRDefault="00E61621" w:rsidP="00E61621">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כ"א ניסן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29 אפריל 2024</w:t>
          </w:r>
        </w:sdtContent>
      </w:sdt>
      <w:r>
        <w:rPr>
          <w:rFonts w:ascii="Arial" w:hAnsi="Arial"/>
          <w:noProof w:val="0"/>
          <w:rtl/>
        </w:rPr>
        <w:t>, בהעדר הצדדים.</w:t>
      </w:r>
    </w:p>
    <w:p w:rsidR="00E61621" w:rsidRDefault="004C321D" w:rsidP="00E61621">
      <w:pPr>
        <w:tabs>
          <w:tab w:val="left" w:pos="2553"/>
        </w:tabs>
        <w:ind w:left="5040"/>
        <w:rPr>
          <w:rtl/>
        </w:rPr>
      </w:pPr>
      <w:sdt>
        <w:sdtPr>
          <w:rPr>
            <w:rFonts w:hint="cs"/>
            <w:rtl/>
          </w:rPr>
          <w:alias w:val="2045"/>
          <w:tag w:val="2045"/>
          <w:id w:val="740689340"/>
          <w:placeholder>
            <w:docPart w:val="50B3E91F281842D887C9B3499D45C4BF"/>
          </w:placeholder>
          <w:showingPlcHdr/>
          <w:text w:multiLine="1"/>
        </w:sdtPr>
        <w:sdtEndPr/>
        <w:sdtContent>
          <w:r w:rsidR="00E61621">
            <w:rPr>
              <w:rFonts w:hint="cs"/>
              <w:rtl/>
            </w:rPr>
            <w:t xml:space="preserve">     </w:t>
          </w:r>
        </w:sdtContent>
      </w:sdt>
    </w:p>
    <w:p w:rsidR="00E61621" w:rsidRDefault="00E61621" w:rsidP="00E6162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945897479"/>
        </w:sdtPr>
        <w:sdtEndPr/>
        <w:sdtContent>
          <w:r>
            <w:drawing>
              <wp:inline distT="0" distB="0" distL="0" distR="0" wp14:anchorId="037BB339" wp14:editId="3B973526">
                <wp:extent cx="1685925" cy="1009649"/>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6" cstate="print">
                          <a:extLst/>
                        </a:blip>
                        <a:stretch>
                          <a:fillRect/>
                        </a:stretch>
                      </pic:blipFill>
                      <pic:spPr>
                        <a:xfrm>
                          <a:off x="0" y="0"/>
                          <a:ext cx="1685925" cy="1009649"/>
                        </a:xfrm>
                        <a:prstGeom prst="rect">
                          <a:avLst/>
                        </a:prstGeom>
                      </pic:spPr>
                    </pic:pic>
                  </a:graphicData>
                </a:graphic>
              </wp:inline>
            </w:drawing>
          </w:r>
        </w:sdtContent>
      </w:sdt>
    </w:p>
    <w:p w:rsidR="00E61621" w:rsidRDefault="00E61621" w:rsidP="00E61621">
      <w:pPr>
        <w:tabs>
          <w:tab w:val="left" w:pos="2553"/>
        </w:tabs>
        <w:rPr>
          <w:rFonts w:ascii="Arial" w:hAnsi="Arial"/>
          <w:noProof w:val="0"/>
          <w:rtl/>
        </w:rPr>
      </w:pPr>
    </w:p>
    <w:p w:rsidR="00512360" w:rsidRPr="00AD529B" w:rsidRDefault="00512360"/>
    <w:sectPr w:rsidR="00512360" w:rsidRPr="00AD529B" w:rsidSect="00C11DC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529B"/>
    <w:rsid w:val="004C321D"/>
    <w:rsid w:val="00512360"/>
    <w:rsid w:val="006C5947"/>
    <w:rsid w:val="00AD529B"/>
    <w:rsid w:val="00C11DC6"/>
    <w:rsid w:val="00E6162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FD7AD82-F91B-44FC-A2F3-028AF41FF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29B"/>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D529B"/>
    <w:pPr>
      <w:tabs>
        <w:tab w:val="center" w:pos="4153"/>
        <w:tab w:val="right" w:pos="8306"/>
      </w:tabs>
    </w:pPr>
  </w:style>
  <w:style w:type="character" w:customStyle="1" w:styleId="a4">
    <w:name w:val="כותרת עליונה תו"/>
    <w:basedOn w:val="a0"/>
    <w:link w:val="a3"/>
    <w:rsid w:val="00AD529B"/>
    <w:rPr>
      <w:rFonts w:ascii="Times New Roman" w:eastAsia="Times New Roman" w:hAnsi="Times New Roman" w:cs="David"/>
      <w:noProof/>
      <w:sz w:val="24"/>
      <w:szCs w:val="24"/>
    </w:rPr>
  </w:style>
  <w:style w:type="paragraph" w:styleId="NormalWeb">
    <w:name w:val="Normal (Web)"/>
    <w:basedOn w:val="a"/>
    <w:uiPriority w:val="99"/>
    <w:semiHidden/>
    <w:unhideWhenUsed/>
    <w:rsid w:val="00AD529B"/>
    <w:pPr>
      <w:bidi w:val="0"/>
      <w:spacing w:before="100" w:beforeAutospacing="1" w:after="100" w:afterAutospacing="1"/>
    </w:pPr>
    <w:rPr>
      <w:rFonts w:eastAsiaTheme="minorEastAsia" w:cs="Times New Roman"/>
      <w:noProof w:val="0"/>
    </w:rPr>
  </w:style>
  <w:style w:type="table" w:styleId="a5">
    <w:name w:val="Table Grid"/>
    <w:basedOn w:val="a1"/>
    <w:rsid w:val="00E61621"/>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uller4">
    <w:name w:val="Ruller4"/>
    <w:basedOn w:val="a"/>
    <w:rsid w:val="00E61621"/>
    <w:pPr>
      <w:tabs>
        <w:tab w:val="left" w:pos="800"/>
      </w:tabs>
      <w:overflowPunct w:val="0"/>
      <w:autoSpaceDE w:val="0"/>
      <w:autoSpaceDN w:val="0"/>
      <w:adjustRightInd w:val="0"/>
      <w:spacing w:line="360" w:lineRule="auto"/>
      <w:jc w:val="both"/>
    </w:pPr>
    <w:rPr>
      <w:rFonts w:ascii="Arial TUR" w:hAnsi="Arial TUR" w:cs="FrankRuehl"/>
      <w:noProof w:val="0"/>
      <w:spacing w:val="10"/>
      <w:kern w:val="2"/>
      <w:sz w:val="22"/>
      <w:szCs w:val="28"/>
      <w14:ligatures w14:val="standardContextual"/>
    </w:rPr>
  </w:style>
  <w:style w:type="character" w:styleId="Hyperlink">
    <w:name w:val="Hyperlink"/>
    <w:basedOn w:val="a0"/>
    <w:uiPriority w:val="99"/>
    <w:semiHidden/>
    <w:unhideWhenUsed/>
    <w:rsid w:val="00E61621"/>
    <w:rPr>
      <w:color w:val="0000FF"/>
      <w:u w:val="single"/>
    </w:rPr>
  </w:style>
  <w:style w:type="paragraph" w:styleId="a6">
    <w:name w:val="Balloon Text"/>
    <w:basedOn w:val="a"/>
    <w:link w:val="a7"/>
    <w:uiPriority w:val="99"/>
    <w:semiHidden/>
    <w:unhideWhenUsed/>
    <w:rsid w:val="006C5947"/>
    <w:rPr>
      <w:rFonts w:ascii="Tahoma" w:hAnsi="Tahoma" w:cs="Tahoma"/>
      <w:sz w:val="18"/>
      <w:szCs w:val="18"/>
    </w:rPr>
  </w:style>
  <w:style w:type="character" w:customStyle="1" w:styleId="a7">
    <w:name w:val="טקסט בלונים תו"/>
    <w:basedOn w:val="a0"/>
    <w:link w:val="a6"/>
    <w:uiPriority w:val="99"/>
    <w:semiHidden/>
    <w:rsid w:val="006C5947"/>
    <w:rPr>
      <w:rFonts w:ascii="Tahoma" w:eastAsia="Times New Roman" w:hAnsi="Tahoma" w:cs="Tahoma"/>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g"/><Relationship Id="rId5" Type="http://schemas.openxmlformats.org/officeDocument/2006/relationships/hyperlink" Target="http://www.nevo.co.il/law/72178/72.a" TargetMode="External"/><Relationship Id="rId4" Type="http://schemas.openxmlformats.org/officeDocument/2006/relationships/image" Target="media/image1.png"/><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0B3E91F281842D887C9B3499D45C4BF"/>
        <w:category>
          <w:name w:val="כללי"/>
          <w:gallery w:val="placeholder"/>
        </w:category>
        <w:types>
          <w:type w:val="bbPlcHdr"/>
        </w:types>
        <w:behaviors>
          <w:behavior w:val="content"/>
        </w:behaviors>
        <w:guid w:val="{0908806E-BBF5-45EA-9E6C-FE06513D114D}"/>
      </w:docPartPr>
      <w:docPartBody>
        <w:p w:rsidR="00D528E9" w:rsidRDefault="004A6136" w:rsidP="004A6136">
          <w:pPr>
            <w:pStyle w:val="50B3E91F281842D887C9B3499D45C4BF"/>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136"/>
    <w:rsid w:val="003864FD"/>
    <w:rsid w:val="004A6136"/>
    <w:rsid w:val="00C6590E"/>
    <w:rsid w:val="00D528E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0B3E91F281842D887C9B3499D45C4BF">
    <w:name w:val="50B3E91F281842D887C9B3499D45C4BF"/>
    <w:rsid w:val="004A6136"/>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3622</Words>
  <Characters>16755</Characters>
  <Application>Microsoft Office Word</Application>
  <DocSecurity>0</DocSecurity>
  <Lines>439</Lines>
  <Paragraphs>106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גרמאו מנגיסטו</cp:lastModifiedBy>
  <cp:revision>2</cp:revision>
  <cp:lastPrinted>2024-05-22T08:21:00Z</cp:lastPrinted>
  <dcterms:created xsi:type="dcterms:W3CDTF">2024-05-23T10:49:00Z</dcterms:created>
  <dcterms:modified xsi:type="dcterms:W3CDTF">2024-05-23T10:49:00Z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e686de5e014f83853d9e5cd6ccf57480723253ccbe387bb19f621af31635df37</vt:lpwstr>
  </property>
</Properties>
</file>